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0B1" w:rsidRDefault="002F20B1" w:rsidP="002F20B1">
      <w:pPr>
        <w:tabs>
          <w:tab w:val="left" w:pos="14656"/>
        </w:tabs>
        <w:jc w:val="center"/>
        <w:rPr>
          <w:b/>
          <w:sz w:val="20"/>
          <w:lang w:eastAsia="lt-LT"/>
        </w:rPr>
      </w:pPr>
      <w:bookmarkStart w:id="0" w:name="_GoBack"/>
      <w:bookmarkEnd w:id="0"/>
      <w:r>
        <w:rPr>
          <w:b/>
          <w:szCs w:val="24"/>
          <w:lang w:eastAsia="lt-LT"/>
        </w:rPr>
        <w:t>KLAIPĖDOS TAURALAUKIO PROGIMNAZIJOS</w:t>
      </w:r>
    </w:p>
    <w:p w:rsidR="002F20B1" w:rsidRDefault="002F20B1" w:rsidP="002F20B1">
      <w:pPr>
        <w:jc w:val="center"/>
        <w:rPr>
          <w:b/>
          <w:szCs w:val="24"/>
          <w:lang w:eastAsia="lt-LT"/>
        </w:rPr>
      </w:pPr>
      <w:r>
        <w:rPr>
          <w:b/>
          <w:szCs w:val="24"/>
          <w:lang w:eastAsia="lt-LT"/>
        </w:rPr>
        <w:t>2024 METŲ VEIKLOS ATASKAITA</w:t>
      </w:r>
    </w:p>
    <w:p w:rsidR="002F20B1" w:rsidRDefault="002F20B1" w:rsidP="002F20B1">
      <w:pPr>
        <w:jc w:val="center"/>
        <w:rPr>
          <w:szCs w:val="24"/>
          <w:lang w:eastAsia="lt-LT"/>
        </w:rPr>
      </w:pPr>
    </w:p>
    <w:p w:rsidR="002F20B1" w:rsidRDefault="002F20B1" w:rsidP="002F20B1">
      <w:pPr>
        <w:jc w:val="center"/>
        <w:rPr>
          <w:lang w:eastAsia="lt-LT"/>
        </w:rPr>
      </w:pPr>
      <w:r>
        <w:rPr>
          <w:lang w:eastAsia="lt-LT"/>
        </w:rPr>
        <w:t xml:space="preserve">2025-01-17 Nr. </w:t>
      </w:r>
    </w:p>
    <w:p w:rsidR="002F20B1" w:rsidRDefault="002F20B1" w:rsidP="002F20B1">
      <w:pPr>
        <w:jc w:val="center"/>
        <w:rPr>
          <w:lang w:eastAsia="lt-LT"/>
        </w:rPr>
      </w:pPr>
      <w:r>
        <w:rPr>
          <w:lang w:eastAsia="lt-LT"/>
        </w:rPr>
        <w:t>Klaipėda</w:t>
      </w:r>
    </w:p>
    <w:p w:rsidR="002F20B1" w:rsidRDefault="002F20B1" w:rsidP="002F20B1">
      <w:pPr>
        <w:rPr>
          <w:b/>
          <w:szCs w:val="24"/>
          <w:lang w:eastAsia="lt-LT"/>
        </w:rPr>
      </w:pPr>
    </w:p>
    <w:p w:rsidR="002F20B1" w:rsidRDefault="002F20B1" w:rsidP="002F20B1">
      <w:pPr>
        <w:jc w:val="center"/>
        <w:rPr>
          <w:b/>
          <w:szCs w:val="24"/>
          <w:lang w:eastAsia="lt-LT"/>
        </w:rPr>
      </w:pPr>
      <w:r>
        <w:rPr>
          <w:b/>
          <w:szCs w:val="24"/>
          <w:lang w:eastAsia="lt-LT"/>
        </w:rPr>
        <w:t>I SKYRIUS</w:t>
      </w:r>
    </w:p>
    <w:p w:rsidR="002F20B1" w:rsidRDefault="002F20B1" w:rsidP="002F20B1">
      <w:pPr>
        <w:jc w:val="center"/>
        <w:rPr>
          <w:b/>
          <w:szCs w:val="24"/>
          <w:lang w:eastAsia="lt-LT"/>
        </w:rPr>
      </w:pPr>
      <w:r>
        <w:rPr>
          <w:b/>
          <w:szCs w:val="24"/>
          <w:lang w:eastAsia="lt-LT"/>
        </w:rPr>
        <w:t>STRATEGINIO PLANO IR METINIO VEIKLOS PLANO ĮGYVENDINIMAS</w:t>
      </w:r>
    </w:p>
    <w:tbl>
      <w:tblPr>
        <w:tblpPr w:leftFromText="180" w:rightFromText="180" w:bottomFromText="160" w:vertAnchor="text" w:horzAnchor="page" w:tblpX="1166" w:tblpY="196"/>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0"/>
      </w:tblGrid>
      <w:tr w:rsidR="002F20B1" w:rsidTr="002F20B1">
        <w:trPr>
          <w:trHeight w:val="266"/>
        </w:trPr>
        <w:tc>
          <w:tcPr>
            <w:tcW w:w="10201" w:type="dxa"/>
            <w:tcBorders>
              <w:top w:val="single" w:sz="4" w:space="0" w:color="auto"/>
              <w:left w:val="single" w:sz="4" w:space="0" w:color="auto"/>
              <w:bottom w:val="single" w:sz="4" w:space="0" w:color="auto"/>
              <w:right w:val="single" w:sz="4" w:space="0" w:color="auto"/>
            </w:tcBorders>
          </w:tcPr>
          <w:p w:rsidR="002F20B1" w:rsidRDefault="002F20B1">
            <w:pPr>
              <w:spacing w:line="252" w:lineRule="auto"/>
              <w:ind w:left="-109"/>
              <w:jc w:val="both"/>
            </w:pPr>
            <w:r>
              <w:t xml:space="preserve">          Klaipėdos Tauralaukio progimnazija (toliau – Progimnazija) įgyvendina ikimokyklinio, priešmokyklinio, pradinio ir pagrindinio ugdymo I dalies bei neformaliojo švietimo programas, taiko ekologijos ir aplinkos technologijų ugdymo sampratos elementus. 2024-09-01  duomenimis Progimnazijoje ugdyti 726 mokiniai (2023-09-01  ̶  531), iš jų 40 mokinių ikimokyklinio ugdymo grupėse, 20 mokinių priešmokyklinio ugdymo grupėje, 336 mokiniai 1–4 klasėse, 330 mokinių 5–8 klasėse. Progimnazijoje dirbo 48 pedagogai (48,12 etato) ir</w:t>
            </w:r>
            <w:r>
              <w:rPr>
                <w:color w:val="FF0000"/>
              </w:rPr>
              <w:t xml:space="preserve"> </w:t>
            </w:r>
            <w:r>
              <w:t>32  nepedagoginiai darbuotojai (42,29 etato).</w:t>
            </w:r>
          </w:p>
          <w:p w:rsidR="002F20B1" w:rsidRDefault="002F20B1">
            <w:pPr>
              <w:spacing w:line="230" w:lineRule="auto"/>
              <w:ind w:left="-103" w:right="-72" w:hanging="1545"/>
              <w:jc w:val="both"/>
            </w:pPr>
            <w:r>
              <w:t>Įgyvendinami              Praėjusiais metais Progimnazija veikė vadovaudamasi 2024–2026 m. strateginiu planu (toliau –  Strateginis planas) ir 2024 m. veiklos planu (toliau  ̶  Veiklos planas). Progimnazijos bendruomenė 2024 m. išsikėlė šias prioritetines veiklos kryptis: 1) mokinių mokymosi pasiekimų gerinimas, savalaikės ir veiksmingos pagalbos įvairių gebėjimų mokiniams teikimas, kiekvieno mokinio asmeninės pažangos (</w:t>
            </w:r>
            <w:proofErr w:type="spellStart"/>
            <w:r>
              <w:t>ūgties</w:t>
            </w:r>
            <w:proofErr w:type="spellEnd"/>
            <w:r>
              <w:t>) užtikrinimas taikant individualią mokinio pažangos matavimo sistemą; 2) profesinio pedagogų tobulėjimo užtikrinimas diegiant atnaujintą ugdymo turinį, mokomųjų dalykų integralumą, ugdant mokinių dalykines ir asmenines kompetencijas; 3) aukštos švietimo paslaugų kokybės ir prieinamumo užtikrinimas, formuojant mokyklos mikroklimatą ir kuriant pozityvią ugdymosi aplinką, didinant kiekvieno bendruomenės nario pasidalintąją lyderystę. Strateginiam tikslui įgyvendinti Strateginiame ir Veiklos planuose buvo iškelti konkretūs veiklos tikslai ir uždaviniai, numatytos pamatuotos priemonės laukiamam rezultatui pasiekti.</w:t>
            </w:r>
          </w:p>
          <w:p w:rsidR="002F20B1" w:rsidRDefault="002F20B1">
            <w:pPr>
              <w:spacing w:line="230" w:lineRule="auto"/>
              <w:ind w:right="-72" w:hanging="1080"/>
              <w:jc w:val="both"/>
              <w:rPr>
                <w:szCs w:val="24"/>
              </w:rPr>
            </w:pPr>
            <w:r>
              <w:rPr>
                <w:szCs w:val="24"/>
              </w:rPr>
              <w:t xml:space="preserve">Siekiant           </w:t>
            </w:r>
            <w:proofErr w:type="spellStart"/>
            <w:r>
              <w:rPr>
                <w:szCs w:val="24"/>
              </w:rPr>
              <w:t>Siekiant</w:t>
            </w:r>
            <w:proofErr w:type="spellEnd"/>
            <w:r>
              <w:rPr>
                <w:szCs w:val="24"/>
              </w:rPr>
              <w:t xml:space="preserve"> Strateginio plano pirmojo tikslo – </w:t>
            </w:r>
            <w:r>
              <w:t>mokinių mokymosi pasiekimų gerinimas, savalaikės ir veiksmingos pagalbos įvairių gebėjimų mokiniams teikimas, kiekvieno mokinio asmeninės pažangos (</w:t>
            </w:r>
            <w:proofErr w:type="spellStart"/>
            <w:r>
              <w:t>ūgties</w:t>
            </w:r>
            <w:proofErr w:type="spellEnd"/>
            <w:r>
              <w:t>) užtikrinimas taikant individualią mokinio pažangos matavimo sistemą</w:t>
            </w:r>
            <w:r>
              <w:rPr>
                <w:szCs w:val="24"/>
              </w:rPr>
              <w:t xml:space="preserve"> – Progimnazijos veikla buvo orientuota į kokybiško ugdymo užtikrinimą, kiekvieno mokinio asmeninę pažangą (</w:t>
            </w:r>
            <w:proofErr w:type="spellStart"/>
            <w:r>
              <w:rPr>
                <w:szCs w:val="24"/>
              </w:rPr>
              <w:t>ūgtį</w:t>
            </w:r>
            <w:proofErr w:type="spellEnd"/>
            <w:r>
              <w:rPr>
                <w:szCs w:val="24"/>
              </w:rPr>
              <w:t xml:space="preserve">) bei pagalbą mokiniui. Tikslui pasiekti buvo vykdomi  keturi Veiklos plano uždaviniai: </w:t>
            </w:r>
          </w:p>
          <w:p w:rsidR="002F20B1" w:rsidRDefault="002F20B1">
            <w:pPr>
              <w:widowControl w:val="0"/>
              <w:tabs>
                <w:tab w:val="left" w:pos="426"/>
                <w:tab w:val="left" w:pos="709"/>
                <w:tab w:val="left" w:pos="851"/>
              </w:tabs>
              <w:autoSpaceDE w:val="0"/>
              <w:autoSpaceDN w:val="0"/>
              <w:adjustRightInd w:val="0"/>
              <w:spacing w:line="256" w:lineRule="auto"/>
              <w:ind w:hanging="720"/>
              <w:jc w:val="both"/>
              <w:rPr>
                <w:szCs w:val="24"/>
              </w:rPr>
            </w:pPr>
            <w:r>
              <w:rPr>
                <w:szCs w:val="24"/>
              </w:rPr>
              <w:t xml:space="preserve">                      - įgyvendinant pirmąjį uždavinį - siekti aukštesnių mokinių mokymosi rezultatų, stiprinant pagalbos teikimą mokymosi sunkumų turintiems bei gabiems mokiniams 2023-2024 m. m. Ugdymo plane mokinių mokymosi poreikiams skirtos valandos: lietuvių kalbos mokymosi sunkumų turintiems mokiniams  9,5 val. (6 val. iš jų – pradinėse klasėse), žinių gilinimui gabiems mokiniams 7 val. (2,5 val. – pradinukams), matematikos mokymosi sunkumų turintiems mokiniams 5 val. (1 val. iš jų – pradinių klasių mokiniams), 6,5 val. gabiems mokiniams  matematikos žinių gilinimui (2,5 val. – pradinukams), užsienio kalbų (anglų ir vokiečių) žinių gilinimui 5,5 val., socialinių, gamtamokslinių dalykų žinių gilinimui 2,5 valandos. Tikslingai išnaudotos ugdymo plano  mokymosi poreikiams skirtos konsultacinės valandos pasiteisino, nes pasiekti aukšti mokinių mokymosi rezultatai.</w:t>
            </w:r>
          </w:p>
          <w:p w:rsidR="002F20B1" w:rsidRDefault="002F20B1">
            <w:pPr>
              <w:widowControl w:val="0"/>
              <w:autoSpaceDE w:val="0"/>
              <w:autoSpaceDN w:val="0"/>
              <w:adjustRightInd w:val="0"/>
              <w:spacing w:line="256" w:lineRule="auto"/>
              <w:ind w:left="-57" w:firstLine="697"/>
              <w:jc w:val="both"/>
              <w:rPr>
                <w:szCs w:val="24"/>
              </w:rPr>
            </w:pPr>
            <w:r>
              <w:rPr>
                <w:szCs w:val="24"/>
              </w:rPr>
              <w:t xml:space="preserve">           2023–2024 mokslo metus baigė 471 mokinys (2022-2023 m. m. - 349) mokinių skaičius padidėjo 122 mokiniais. Labai gerai mokėsi 119 (tai sudaro 25,2 % Progimnazijos mokinių), 202 mokėsi gerai (42,8 %).  Labai gerai ir gerai besimokančių mokinių skaičius Progimnazijoje išlieka aukštas 321 (68,2 % nuo bendro mokinių skaičiaus). 2023–2024 m. m. mokinių pažangumas siekė 100 %. Bendras 5–8 klasių pažangumo vidurkis – 8,56.  Visi  8 klases baigę mokiniai toliau mokėsi miesto gimnazijose ar profesinėse mokyklose. </w:t>
            </w:r>
          </w:p>
          <w:p w:rsidR="002F20B1" w:rsidRDefault="002F20B1">
            <w:pPr>
              <w:widowControl w:val="0"/>
              <w:autoSpaceDE w:val="0"/>
              <w:autoSpaceDN w:val="0"/>
              <w:adjustRightInd w:val="0"/>
              <w:spacing w:line="256" w:lineRule="auto"/>
              <w:jc w:val="both"/>
              <w:rPr>
                <w:szCs w:val="24"/>
              </w:rPr>
            </w:pPr>
            <w:r>
              <w:rPr>
                <w:szCs w:val="24"/>
              </w:rPr>
              <w:t xml:space="preserve">           </w:t>
            </w:r>
            <w:r>
              <w:rPr>
                <w:szCs w:val="24"/>
                <w:shd w:val="clear" w:color="auto" w:fill="FFFFFF"/>
              </w:rPr>
              <w:t xml:space="preserve">           </w:t>
            </w:r>
            <w:r>
              <w:rPr>
                <w:szCs w:val="24"/>
              </w:rPr>
              <w:t xml:space="preserve">2023–2024 m. m. Progimnazijoje įgyvendinti 39 dalykų moduliai, 31 neformaliojo švietimo programa. 72 mokiniai (15,2%) lankė STEAM ir ekonomikos, 194 mokiniai (41,1%) kalbų ir matematikos, 46 mokiniai (9,7 %) lankė gamtosauginio ugdymo, 69 mokiniai (14,6 %) sporto, 118 mokinių (25 %) lankė meninio ugdymo, 58 mokiniai (12,2 %) etnokultūrinio ugdymo ir techninės kūrybos bei technologijų, 102 mokiniai (21,6 %) lankė programavimo, 44 mokiniai (9,3%) pilietiškumo būrelius. </w:t>
            </w:r>
          </w:p>
          <w:p w:rsidR="002F20B1" w:rsidRDefault="002F20B1">
            <w:pPr>
              <w:widowControl w:val="0"/>
              <w:autoSpaceDE w:val="0"/>
              <w:autoSpaceDN w:val="0"/>
              <w:adjustRightInd w:val="0"/>
              <w:spacing w:line="256" w:lineRule="auto"/>
              <w:ind w:left="-57" w:firstLine="697"/>
              <w:jc w:val="both"/>
              <w:rPr>
                <w:szCs w:val="24"/>
              </w:rPr>
            </w:pPr>
          </w:p>
          <w:p w:rsidR="002F20B1" w:rsidRDefault="002F20B1">
            <w:pPr>
              <w:widowControl w:val="0"/>
              <w:tabs>
                <w:tab w:val="left" w:pos="851"/>
              </w:tabs>
              <w:autoSpaceDE w:val="0"/>
              <w:autoSpaceDN w:val="0"/>
              <w:adjustRightInd w:val="0"/>
              <w:spacing w:line="256" w:lineRule="auto"/>
              <w:ind w:left="-57"/>
              <w:jc w:val="both"/>
              <w:rPr>
                <w:szCs w:val="24"/>
                <w:shd w:val="clear" w:color="auto" w:fill="FFFFFF"/>
              </w:rPr>
            </w:pPr>
            <w:r>
              <w:rPr>
                <w:szCs w:val="24"/>
              </w:rPr>
              <w:lastRenderedPageBreak/>
              <w:t xml:space="preserve">          </w:t>
            </w:r>
            <w:r>
              <w:rPr>
                <w:szCs w:val="24"/>
                <w:shd w:val="clear" w:color="auto" w:fill="FFFFFF"/>
              </w:rPr>
              <w:t xml:space="preserve">2024 m. sausio–vasario mėnesiais Progimnazija atliko įsivertinimą pagal Nacionalinio egzaminų centro parengtus NMPP </w:t>
            </w:r>
            <w:r>
              <w:rPr>
                <w:bCs/>
                <w:szCs w:val="24"/>
                <w:shd w:val="clear" w:color="auto" w:fill="FFFFFF"/>
              </w:rPr>
              <w:t>testus</w:t>
            </w:r>
            <w:r>
              <w:rPr>
                <w:szCs w:val="24"/>
                <w:shd w:val="clear" w:color="auto" w:fill="FFFFFF"/>
              </w:rPr>
              <w:t xml:space="preserve"> 4 ir 8 klasėse. Grįžtamojo ryšio informacija išanalizuota pradinio, kalbų, tiksliųjų mokslų ir dorinio ugdymo metodinėse grupėse, Mokytojų tarybos posėdyje 2024-06-20 (protokolo Nr.V4-25), su rezultatais supažindinti mokiniai ir jų tėvai (globėjai).</w:t>
            </w:r>
            <w:r>
              <w:rPr>
                <w:rFonts w:ascii="Arial" w:hAnsi="Arial" w:cs="Arial"/>
                <w:szCs w:val="24"/>
                <w:shd w:val="clear" w:color="auto" w:fill="FFFFFF"/>
              </w:rPr>
              <w:t xml:space="preserve"> </w:t>
            </w:r>
            <w:r>
              <w:rPr>
                <w:szCs w:val="24"/>
                <w:shd w:val="clear" w:color="auto" w:fill="FFFFFF"/>
              </w:rPr>
              <w:t>4 klasių mokinių NMPP rezultatai: matematika 63,4 %, skaitymas 57,2 %. 8 klasės mokinių NMPP rezultatai: matematika 59,9 %, lietuvių kalba ir literatūra (skaitymas) 77,9 %. 1,1% pagerėjo 8 klasės lietuvių kalbos ir literatūros (skaitymo) rezultatai.</w:t>
            </w:r>
          </w:p>
          <w:p w:rsidR="002F20B1" w:rsidRDefault="002F20B1">
            <w:pPr>
              <w:widowControl w:val="0"/>
              <w:tabs>
                <w:tab w:val="left" w:pos="851"/>
              </w:tabs>
              <w:autoSpaceDE w:val="0"/>
              <w:autoSpaceDN w:val="0"/>
              <w:adjustRightInd w:val="0"/>
              <w:spacing w:line="256" w:lineRule="auto"/>
              <w:ind w:left="-57"/>
              <w:jc w:val="both"/>
              <w:rPr>
                <w:szCs w:val="24"/>
              </w:rPr>
            </w:pPr>
            <w:r>
              <w:rPr>
                <w:szCs w:val="24"/>
                <w:shd w:val="clear" w:color="auto" w:fill="FFFFFF"/>
              </w:rPr>
              <w:t xml:space="preserve">         </w:t>
            </w:r>
            <w:r>
              <w:rPr>
                <w:szCs w:val="24"/>
              </w:rPr>
              <w:t xml:space="preserve">Progimnazijoje vykdyta neformaliojo švietimo veikla, buvo skirta meninei, gamtamokslinei, intelektualinei ar kitai veiklai, mokinių asmeninėms, socialinėms, edukacinėms, kompetencijoms ugdyti. 2023–2024 m. m. 1211 Progimnazijos mokinių dalyvavo 577 konkursuose (197 iš jų –tarptautiniai), 66 olimpiadose (30 iš jų – tarptautinės), 12 varžybų, 3 konferencijose, 36 parodose ir 520 projektų (379 iš jų - tarptautiniai). (Informacija pateikta Progimnazijos interneto </w:t>
            </w:r>
            <w:proofErr w:type="spellStart"/>
            <w:r>
              <w:rPr>
                <w:szCs w:val="24"/>
              </w:rPr>
              <w:t>svetainėje:www.tauralaukiomokykla.lt</w:t>
            </w:r>
            <w:proofErr w:type="spellEnd"/>
            <w:r>
              <w:rPr>
                <w:szCs w:val="24"/>
              </w:rPr>
              <w:t>).</w:t>
            </w:r>
          </w:p>
          <w:p w:rsidR="002F20B1" w:rsidRDefault="002F20B1" w:rsidP="008C3FF8">
            <w:pPr>
              <w:pStyle w:val="Sraopastraipa"/>
              <w:numPr>
                <w:ilvl w:val="0"/>
                <w:numId w:val="1"/>
              </w:numPr>
              <w:spacing w:line="256" w:lineRule="auto"/>
              <w:ind w:left="0"/>
              <w:jc w:val="both"/>
              <w:rPr>
                <w:szCs w:val="24"/>
                <w:lang w:eastAsia="lt-LT"/>
              </w:rPr>
            </w:pPr>
            <w:r>
              <w:rPr>
                <w:szCs w:val="24"/>
              </w:rPr>
              <w:t xml:space="preserve">        </w:t>
            </w:r>
            <w:r>
              <w:t>2023–2024 m. m. Progimnazijoje mokėsi 77 mokiniai, kuriems buvo teikiama pagalbos mokiniui specialistų pagalba: specialiojo, socialinio pedagogų, logopedo, psichologo ir 6 mokytojų padėjėjų. 74 mokiniai turėjo kalbos ir kalbėjimo sutrikimų (15 iš jų ugdėsi ikimokyklinio ir priešmokyklinio ugdymo grupėse), 29 – specialiųjų ugdymosi poreikių. Per 2023–2024 m. m. pagalbos mokiniui specialistai pagal poreikį teikė individualias ir grupines konsultacijas: specialusis pedagogas - 175 individualias, 455 – grupines; psichologas – 997 individualias, 30 – grupinių; logopedas – 900 individualių, 864 – grupines; socialinis pedagogas – 643 individualias, 21 – grupinę. Vaiko gerovės komisija organizavo 13 posėdžių, kuriuose buvo aptariama konkreti pagalba specialiųjų poreikių turintiems mokiniams.</w:t>
            </w:r>
            <w:r>
              <w:rPr>
                <w:szCs w:val="24"/>
                <w:lang w:eastAsia="lt-LT"/>
              </w:rPr>
              <w:t xml:space="preserve"> Daug dėmesio skyrėme mokinių sąmoningos drausmės formavimui, susitarimų laikymuisi, problemų sprendimui dialogu. 2024 m. gegužės mėnesį atlikta 5 klasių mokinių anketinė apklausa „Dialogu ir susitarimais grįstos kultūros kūrimas“, spalio mėnesį su gautais rezultatais supažindinti 5 klasių vadovai. Progimnazijos psichologė 2024 metų lapkričio mėnesį tyrė 1;5 ir naujai suformuotų klasių mokinių adaptaciją. Tyrimo rezultatai bei rekomendacijos dėl mokiniams iškylančių iššūkių adaptaciniu periodu aptartos Mokytojų tarybos posėdyje 2024-12-16 (protokolo Nr. V4- 52 ). </w:t>
            </w:r>
          </w:p>
          <w:p w:rsidR="002F20B1" w:rsidRDefault="002F20B1">
            <w:pPr>
              <w:pStyle w:val="Sraopastraipa"/>
              <w:spacing w:line="256" w:lineRule="auto"/>
              <w:rPr>
                <w:szCs w:val="24"/>
                <w:lang w:eastAsia="lt-LT"/>
              </w:rPr>
            </w:pPr>
            <w:r>
              <w:rPr>
                <w:szCs w:val="24"/>
                <w:lang w:eastAsia="lt-LT"/>
              </w:rPr>
              <w:t xml:space="preserve">          2024-06-28 atlikta 5-7 klasių mokinių anketinė apklausa  „Mokytojų pagalbos mokiniams </w:t>
            </w:r>
          </w:p>
          <w:p w:rsidR="002F20B1" w:rsidRDefault="002F20B1">
            <w:pPr>
              <w:spacing w:line="256" w:lineRule="auto"/>
              <w:jc w:val="both"/>
            </w:pPr>
            <w:r>
              <w:rPr>
                <w:szCs w:val="24"/>
                <w:lang w:eastAsia="lt-LT"/>
              </w:rPr>
              <w:t xml:space="preserve">veiksmingumas“. Apklausos tikslas buvo išsiaiškinti, ar mokiniams mokytojų teikiama pedagoginė pagalba yra veiksminga ir, atsižvelgus į tyrimo rezultatų analizę, esant poreikiui, tobulinti mokytojų teikiamos pagalbos veiksmingumą. </w:t>
            </w:r>
            <w:r>
              <w:t xml:space="preserve">Apklausos rezultatai parodė, kad 50 % 5-7 klasių mokinių mokytojo pagalba, įveikiant mokymosi sunkumus, yra naudinga, </w:t>
            </w:r>
            <w:r>
              <w:rPr>
                <w:szCs w:val="24"/>
                <w:lang w:eastAsia="lt-LT"/>
              </w:rPr>
              <w:t>50% mokinių mokytojų pagalba reikalinga suvokus, kad turi mokymosi spragų, kurias būtina įveikti. 28 % mokinių pripažino, kad mokytojo pagalba reikalinga todėl, kad jie nenori atsilikti nuo draugų, 22% nurodė, kad jiems pagalbos reikia todėl, kad nespėja išmokti per pamokas.</w:t>
            </w:r>
            <w:r>
              <w:t xml:space="preserve"> </w:t>
            </w:r>
            <w:r>
              <w:rPr>
                <w:szCs w:val="24"/>
                <w:lang w:eastAsia="lt-LT"/>
              </w:rPr>
              <w:t xml:space="preserve">Daugiau kaip pusė apklausoje dalyvavusių mokinių nurodė, kad  dažniausiai mokytojai pagalbą jiems teikia skirdami papildomas užduotis, 28 % mokinių po pamokų, aiškinasi nesuprastus dalykus, pamokų metu neįsisavintą medžiagą, 22 % mokinių, </w:t>
            </w:r>
            <w:proofErr w:type="spellStart"/>
            <w:r>
              <w:rPr>
                <w:szCs w:val="24"/>
                <w:lang w:eastAsia="lt-LT"/>
              </w:rPr>
              <w:t>t.y</w:t>
            </w:r>
            <w:proofErr w:type="spellEnd"/>
            <w:r>
              <w:rPr>
                <w:szCs w:val="24"/>
                <w:lang w:eastAsia="lt-LT"/>
              </w:rPr>
              <w:t xml:space="preserve">. ta grupė, kuriai minimaliai reikalinga mokytojo pagalba, teigė, kad mokytojai juos konsultuoja per pertraukas. </w:t>
            </w:r>
            <w:r>
              <w:t xml:space="preserve">Kaip parodė tyrimų duomenys, visą pamokos metu pateiktą medžiagą dažniausiai spėja išmokti daugiau kaip puse mokinių 55%, 28% mokinių atsakė, kad kartais spėja išmokti ir 17% mokinių dažniausiai nespėja išmokti. </w:t>
            </w:r>
            <w:r>
              <w:rPr>
                <w:szCs w:val="24"/>
                <w:lang w:eastAsia="lt-LT"/>
              </w:rPr>
              <w:t xml:space="preserve">Paprašyti įvardinti, metodus, kuriais dirba pamokoje, 69% mokinių nurodė savarankišką darbą, 12% padeda mokytojas, 19% į pagalbą atliekant užduotis per pamoką pasitelkia draugą. Iš mokinių atsakymų galima spręsti, kad ugdomosios veiklos metu mokytojai naudoja įvairius mokymo būdus, atsižvelgdami į mokinių amžių, pasiruošimą, gebėjimą dirbti, susidomėjimą, mokomąją medžiagą. </w:t>
            </w:r>
            <w:r>
              <w:t>70% mokinių geba pamokų metu patys atlikti mokytojo paskirtą darbą ir galėtų daugiau dirbti per pamokas, tuo tarpu daugiau nei ketvirtadalis mokinių prisipažįsta ne visada gebą atlikti paskirtas užduotis.  Anketinės apklausos rezultatai pristatyti 2024-08-30 Mokytojų tarybos posėdyje (protokolo Nr.V4-28).</w:t>
            </w:r>
          </w:p>
          <w:p w:rsidR="002F20B1" w:rsidRDefault="002F20B1">
            <w:pPr>
              <w:widowControl w:val="0"/>
              <w:tabs>
                <w:tab w:val="left" w:pos="851"/>
              </w:tabs>
              <w:autoSpaceDE w:val="0"/>
              <w:autoSpaceDN w:val="0"/>
              <w:adjustRightInd w:val="0"/>
              <w:spacing w:line="256" w:lineRule="auto"/>
              <w:jc w:val="both"/>
              <w:rPr>
                <w:szCs w:val="24"/>
              </w:rPr>
            </w:pPr>
            <w:r>
              <w:t xml:space="preserve">               </w:t>
            </w:r>
            <w:r>
              <w:rPr>
                <w:szCs w:val="24"/>
              </w:rPr>
              <w:t xml:space="preserve"> Mokytojai</w:t>
            </w:r>
            <w:r>
              <w:rPr>
                <w:szCs w:val="24"/>
                <w:shd w:val="clear" w:color="auto" w:fill="FFFFFF"/>
              </w:rPr>
              <w:t xml:space="preserve"> pamokų turinį planavo atsižvelgę į konkrečios klasės mokinių pažangumą,  taikydami aktyvias mokymo(</w:t>
            </w:r>
            <w:proofErr w:type="spellStart"/>
            <w:r>
              <w:rPr>
                <w:szCs w:val="24"/>
                <w:shd w:val="clear" w:color="auto" w:fill="FFFFFF"/>
              </w:rPr>
              <w:t>si</w:t>
            </w:r>
            <w:proofErr w:type="spellEnd"/>
            <w:r>
              <w:rPr>
                <w:szCs w:val="24"/>
                <w:shd w:val="clear" w:color="auto" w:fill="FFFFFF"/>
              </w:rPr>
              <w:t>) strategijas orientavosi į aktyvią mokinių veiklą: skatino klausti, tyrinėti, ieškoti, bandyti, pritaikyti, analizuoti, spręsti problemas, kurti,</w:t>
            </w:r>
            <w:r>
              <w:rPr>
                <w:szCs w:val="24"/>
              </w:rPr>
              <w:t xml:space="preserve"> savo darbe taikė projektinę veiklą, </w:t>
            </w:r>
            <w:r>
              <w:t>organizavo</w:t>
            </w:r>
            <w:r>
              <w:rPr>
                <w:szCs w:val="24"/>
              </w:rPr>
              <w:t xml:space="preserve"> ugdomąsias veiklas netradicinėse erdvėse už Progimnazijos ribų. Vadovaujantis  2023–2024 </w:t>
            </w:r>
            <w:r>
              <w:rPr>
                <w:szCs w:val="24"/>
              </w:rPr>
              <w:lastRenderedPageBreak/>
              <w:t xml:space="preserve">m. m. ugdymo plano tikslais, </w:t>
            </w:r>
            <w:r>
              <w:rPr>
                <w:szCs w:val="24"/>
                <w:shd w:val="clear" w:color="auto" w:fill="FFFFFF"/>
              </w:rPr>
              <w:t>siekėme aukštesnės mokymo(</w:t>
            </w:r>
            <w:proofErr w:type="spellStart"/>
            <w:r>
              <w:rPr>
                <w:szCs w:val="24"/>
                <w:shd w:val="clear" w:color="auto" w:fill="FFFFFF"/>
              </w:rPr>
              <w:t>si</w:t>
            </w:r>
            <w:proofErr w:type="spellEnd"/>
            <w:r>
              <w:rPr>
                <w:szCs w:val="24"/>
                <w:shd w:val="clear" w:color="auto" w:fill="FFFFFF"/>
              </w:rPr>
              <w:t xml:space="preserve">) kokybės, pažangos, todėl 2 kartus per mokslo metus mokytojai Atvirų durų dienų metu su mokiniais ir tėvais (globėjais) individualiai aptarė jų mokymosi pažangą, susidėliojo mokymosi sėkmės algoritmus, teikė pagalbą mokymosi sunkumų patiriantiems mokiniams. Visi mokytojai ugdymo procese taikė </w:t>
            </w:r>
            <w:r>
              <w:rPr>
                <w:szCs w:val="24"/>
              </w:rPr>
              <w:t xml:space="preserve">IKT, rengė individualios mokinio pažangos ir pasiekimų vertinimo ( IMPPVS) stebėsenos 1–4 klasės popierinius aplankus, o 5–8 klasės </w:t>
            </w:r>
            <w:proofErr w:type="spellStart"/>
            <w:r>
              <w:rPr>
                <w:szCs w:val="24"/>
              </w:rPr>
              <w:t>google</w:t>
            </w:r>
            <w:proofErr w:type="spellEnd"/>
            <w:r>
              <w:rPr>
                <w:szCs w:val="24"/>
              </w:rPr>
              <w:t xml:space="preserve"> diske virtualius aplankus, rašė programas mokiniams, turintiems specialiųjų ugdymo(</w:t>
            </w:r>
            <w:proofErr w:type="spellStart"/>
            <w:r>
              <w:rPr>
                <w:szCs w:val="24"/>
              </w:rPr>
              <w:t>si</w:t>
            </w:r>
            <w:proofErr w:type="spellEnd"/>
            <w:r>
              <w:rPr>
                <w:szCs w:val="24"/>
              </w:rPr>
              <w:t xml:space="preserve">) poreikių. </w:t>
            </w:r>
          </w:p>
          <w:p w:rsidR="002F20B1" w:rsidRDefault="002F20B1" w:rsidP="008C3FF8">
            <w:pPr>
              <w:pStyle w:val="Sraopastraipa"/>
              <w:widowControl w:val="0"/>
              <w:numPr>
                <w:ilvl w:val="0"/>
                <w:numId w:val="2"/>
              </w:numPr>
              <w:tabs>
                <w:tab w:val="left" w:pos="851"/>
              </w:tabs>
              <w:autoSpaceDE w:val="0"/>
              <w:autoSpaceDN w:val="0"/>
              <w:adjustRightInd w:val="0"/>
              <w:spacing w:line="256" w:lineRule="auto"/>
              <w:jc w:val="both"/>
              <w:rPr>
                <w:szCs w:val="24"/>
              </w:rPr>
            </w:pPr>
            <w:r>
              <w:rPr>
                <w:szCs w:val="24"/>
              </w:rPr>
              <w:t xml:space="preserve">Įgyvendinant antrąjį uždavinį – profesinio pedagogų tobulėjimo užtikrinimas įgyvendinant </w:t>
            </w:r>
          </w:p>
          <w:p w:rsidR="002F20B1" w:rsidRDefault="002F20B1">
            <w:pPr>
              <w:widowControl w:val="0"/>
              <w:tabs>
                <w:tab w:val="left" w:pos="851"/>
              </w:tabs>
              <w:autoSpaceDE w:val="0"/>
              <w:autoSpaceDN w:val="0"/>
              <w:adjustRightInd w:val="0"/>
              <w:spacing w:line="256" w:lineRule="auto"/>
              <w:jc w:val="both"/>
              <w:rPr>
                <w:szCs w:val="24"/>
              </w:rPr>
            </w:pPr>
            <w:proofErr w:type="spellStart"/>
            <w:r>
              <w:rPr>
                <w:szCs w:val="24"/>
              </w:rPr>
              <w:t>įtraukųjį</w:t>
            </w:r>
            <w:proofErr w:type="spellEnd"/>
            <w:r>
              <w:rPr>
                <w:szCs w:val="24"/>
              </w:rPr>
              <w:t xml:space="preserve">, atnaujintą ugdymo turinį, mokomųjų dalykų integralumą, ugdant mokinių kompetencijas, </w:t>
            </w:r>
          </w:p>
          <w:p w:rsidR="002F20B1" w:rsidRDefault="002F20B1">
            <w:pPr>
              <w:widowControl w:val="0"/>
              <w:autoSpaceDE w:val="0"/>
              <w:autoSpaceDN w:val="0"/>
              <w:adjustRightInd w:val="0"/>
              <w:spacing w:line="256" w:lineRule="auto"/>
              <w:jc w:val="both"/>
              <w:rPr>
                <w:szCs w:val="24"/>
              </w:rPr>
            </w:pPr>
            <w:r>
              <w:rPr>
                <w:szCs w:val="24"/>
              </w:rPr>
              <w:t>– Progimnazijos veikla buvo orientuota į darnų komandos darbą: aukšta dirbančių pedagogų ir pagalbos mokiniui specialistų kvalifikacija: 4 (8,3 %) ekspertai, 18 (37,5 %) metodininkų, 16 (33,3 %) vyresniųjų mokytojų, 10 (20,9 %) mokytojų, sistemingas kvalifikacijos tobulinimas, atsižvelgiant į Progimnazijos prioritetus, tikslus, kvalifikacijos tobulinimo programą, leido pasiekti gerų mokinių mokymosi rezultatų. 2024 metais 90% mokytojų kvalifikaciją kėlė po 12 dienų. Organizuotas kryptingas mokytojų ir pagalbos mokiniui specialistų kvalifikacijos kėlimas: vertinimo ir atnaujintų bendrųjų programų kontekste „Vertinimo kaitos aktualijos įgyvendinant atnaujintas bendrąsias programas“; (DI) „Dirbtinio intelekto kalbos modeliai: galimybės ir taikymas mokykloje“, įtraukiojo ugdymo, darbo su specialiųjų poreikių mokiniais „Reagavimo į patyčias ir žeminantį elgesį pagrindai“, „Mokytojų santykiai mokykloje, siekiant emocinio saugumo ir produktyvaus mokymo(</w:t>
            </w:r>
            <w:proofErr w:type="spellStart"/>
            <w:r>
              <w:rPr>
                <w:szCs w:val="24"/>
              </w:rPr>
              <w:t>si</w:t>
            </w:r>
            <w:proofErr w:type="spellEnd"/>
            <w:r>
              <w:rPr>
                <w:szCs w:val="24"/>
              </w:rPr>
              <w:t xml:space="preserve">)“, „Motyvacija mokytis, augti ir siekti“, pamokos vadybos bei mokytojų dalykinių kompetencijų tobulinimui  „Efektyvios šiuolaikinės pamokos didaktiniai aspektai“. Pedagogai mokėsi kurti pozityvius santykius, aplinką, kurioje visa bendruomenė jaustųsi saugi tiek fiziškai, tiek psichologiškai, vyrautų pagarbūs tarpusavio santykiai, kur veikla grindžiama bendravimu ir bendradarbiavimu, abipuse pagarba, pasitikėjimu, tolerancija ir nuoširdumu, dalyvaudami edukacinėje išvykoje į Šilutę Hugo </w:t>
            </w:r>
            <w:proofErr w:type="spellStart"/>
            <w:r>
              <w:rPr>
                <w:szCs w:val="24"/>
              </w:rPr>
              <w:t>Šojaus</w:t>
            </w:r>
            <w:proofErr w:type="spellEnd"/>
            <w:r>
              <w:rPr>
                <w:szCs w:val="24"/>
              </w:rPr>
              <w:t xml:space="preserve"> muziejų, kur susipažino su Lietuvininkų kulinariniu paveldu, išklausydami seminarą „Smurtas ir priekabiavimas: pavojus, prevencijos priemonės, darbuotojų teisės ir pareigos“. Visi Progimnazijoje dirbantys mokytojai (100 %) nurodo, kad Progimnazijos vadovybė skatina mokytojus kryptingai tobulinti savo profesines kompetencijas. (97,6%) Progimnazijos darbuotojų nuomone jų pasiekimai yra vertinami (duomenys iš 2024 metų veiklos kokybės įsivertinimo).</w:t>
            </w:r>
          </w:p>
          <w:p w:rsidR="002F20B1" w:rsidRDefault="002F20B1">
            <w:pPr>
              <w:spacing w:line="256" w:lineRule="auto"/>
              <w:jc w:val="both"/>
              <w:rPr>
                <w:szCs w:val="24"/>
              </w:rPr>
            </w:pPr>
            <w:r>
              <w:rPr>
                <w:szCs w:val="24"/>
              </w:rPr>
              <w:t xml:space="preserve">          Kvalifikacijos tobulinimo seminaruose įgytas žinias pedagogai pritaikė praktikoje: perskaitė 18 pranešimų (tai sudaro 37,5% nuo visų mokytojų skaičiaus) lyginant su praėjusiais metais perskaityta 5 pranešimais daugiau Progimnazijos ir miesto metodiniuose būreliuose, tėvų susirinkimuose,</w:t>
            </w:r>
            <w:r>
              <w:rPr>
                <w:szCs w:val="24"/>
                <w:lang w:eastAsia="lt-LT"/>
              </w:rPr>
              <w:t xml:space="preserve"> vykdė šiuos programos „</w:t>
            </w:r>
            <w:proofErr w:type="spellStart"/>
            <w:r>
              <w:rPr>
                <w:szCs w:val="24"/>
                <w:lang w:eastAsia="lt-LT"/>
              </w:rPr>
              <w:t>eTwinning</w:t>
            </w:r>
            <w:proofErr w:type="spellEnd"/>
            <w:r>
              <w:rPr>
                <w:szCs w:val="24"/>
                <w:lang w:eastAsia="lt-LT"/>
              </w:rPr>
              <w:t>”</w:t>
            </w:r>
            <w:r>
              <w:rPr>
                <w:rFonts w:ascii="Calibri" w:hAnsi="Calibri" w:cs="Calibri"/>
                <w:sz w:val="22"/>
                <w:szCs w:val="22"/>
                <w:lang w:eastAsia="lt-LT"/>
              </w:rPr>
              <w:t xml:space="preserve"> </w:t>
            </w:r>
            <w:r>
              <w:rPr>
                <w:szCs w:val="24"/>
                <w:lang w:eastAsia="lt-LT"/>
              </w:rPr>
              <w:t>projektus:</w:t>
            </w:r>
            <w:r>
              <w:rPr>
                <w:rFonts w:ascii="Calibri" w:hAnsi="Calibri" w:cs="Calibri"/>
                <w:sz w:val="22"/>
                <w:szCs w:val="22"/>
                <w:lang w:eastAsia="lt-LT"/>
              </w:rPr>
              <w:t xml:space="preserve"> </w:t>
            </w:r>
            <w:r>
              <w:rPr>
                <w:szCs w:val="24"/>
                <w:lang w:eastAsia="lt-LT"/>
              </w:rPr>
              <w:t>„</w:t>
            </w:r>
            <w:proofErr w:type="spellStart"/>
            <w:r>
              <w:rPr>
                <w:szCs w:val="24"/>
                <w:lang w:eastAsia="lt-LT"/>
              </w:rPr>
              <w:t>My</w:t>
            </w:r>
            <w:proofErr w:type="spellEnd"/>
            <w:r>
              <w:rPr>
                <w:szCs w:val="24"/>
                <w:lang w:eastAsia="lt-LT"/>
              </w:rPr>
              <w:t xml:space="preserve"> English </w:t>
            </w:r>
            <w:proofErr w:type="spellStart"/>
            <w:r>
              <w:rPr>
                <w:szCs w:val="24"/>
                <w:lang w:eastAsia="lt-LT"/>
              </w:rPr>
              <w:t>discoveries</w:t>
            </w:r>
            <w:proofErr w:type="spellEnd"/>
            <w:r>
              <w:rPr>
                <w:szCs w:val="24"/>
                <w:lang w:eastAsia="lt-LT"/>
              </w:rPr>
              <w:t>. (Mano anglų kalbos atradimai)” – už kokybišką vykdymą projektas apdovanotas nacionaliniu kokybės ženkleliu,</w:t>
            </w:r>
            <w:r>
              <w:rPr>
                <w:rFonts w:ascii="Calibri" w:hAnsi="Calibri" w:cs="Calibri"/>
                <w:sz w:val="22"/>
                <w:szCs w:val="22"/>
                <w:lang w:eastAsia="lt-LT"/>
              </w:rPr>
              <w:t xml:space="preserve"> </w:t>
            </w:r>
            <w:r>
              <w:rPr>
                <w:szCs w:val="24"/>
                <w:lang w:eastAsia="lt-LT"/>
              </w:rPr>
              <w:t xml:space="preserve">„English 4fun (Anglų kalba linksmai)“ projektas apdovanotas nacionaliniu ir Europos kokybės ženkleliu. </w:t>
            </w:r>
            <w:r>
              <w:rPr>
                <w:szCs w:val="24"/>
              </w:rPr>
              <w:t>2024-05-21 Tauralaukio progimnazijai antrą kartą suteiktas „</w:t>
            </w:r>
            <w:proofErr w:type="spellStart"/>
            <w:r>
              <w:rPr>
                <w:szCs w:val="24"/>
              </w:rPr>
              <w:t>eTwinning</w:t>
            </w:r>
            <w:proofErr w:type="spellEnd"/>
            <w:r>
              <w:rPr>
                <w:szCs w:val="24"/>
              </w:rPr>
              <w:t>“ mokyklos vardas, ji apdovanota „</w:t>
            </w:r>
            <w:proofErr w:type="spellStart"/>
            <w:r>
              <w:rPr>
                <w:szCs w:val="24"/>
              </w:rPr>
              <w:t>eTwinning</w:t>
            </w:r>
            <w:proofErr w:type="spellEnd"/>
            <w:r>
              <w:rPr>
                <w:szCs w:val="24"/>
              </w:rPr>
              <w:t>“ kokybės ženkleliu.</w:t>
            </w:r>
            <w:r>
              <w:rPr>
                <w:szCs w:val="24"/>
                <w:lang w:eastAsia="lt-LT"/>
              </w:rPr>
              <w:t xml:space="preserve"> Šis apdovanojimas reiškia, kad Tauralaukio progimnazija yra įtrauki, šiuolaikiška ir lyderiaujanti. Ženkleliu „</w:t>
            </w:r>
            <w:proofErr w:type="spellStart"/>
            <w:r>
              <w:rPr>
                <w:szCs w:val="24"/>
                <w:lang w:eastAsia="lt-LT"/>
              </w:rPr>
              <w:t>eTwinning</w:t>
            </w:r>
            <w:proofErr w:type="spellEnd"/>
            <w:r>
              <w:rPr>
                <w:szCs w:val="24"/>
                <w:lang w:eastAsia="lt-LT"/>
              </w:rPr>
              <w:t>“ mokykla „</w:t>
            </w:r>
            <w:proofErr w:type="spellStart"/>
            <w:r>
              <w:rPr>
                <w:szCs w:val="24"/>
                <w:lang w:eastAsia="lt-LT"/>
              </w:rPr>
              <w:t>eTwinning</w:t>
            </w:r>
            <w:proofErr w:type="spellEnd"/>
            <w:r>
              <w:rPr>
                <w:szCs w:val="24"/>
                <w:lang w:eastAsia="lt-LT"/>
              </w:rPr>
              <w:t>“ pagerbia mokyklų, kuriose mokytojų ir mokyklų vadovų komandos kartu dirba vadovaudamosi pagrindinėmis „</w:t>
            </w:r>
            <w:proofErr w:type="spellStart"/>
            <w:r>
              <w:rPr>
                <w:szCs w:val="24"/>
                <w:lang w:eastAsia="lt-LT"/>
              </w:rPr>
              <w:t>eTwinning</w:t>
            </w:r>
            <w:proofErr w:type="spellEnd"/>
            <w:r>
              <w:rPr>
                <w:szCs w:val="24"/>
                <w:lang w:eastAsia="lt-LT"/>
              </w:rPr>
              <w:t>“ mokyklos misijos vertybėmis, įsipareigojimu ir atsidavimu. Plačiau:</w:t>
            </w:r>
            <w:r>
              <w:rPr>
                <w:rFonts w:ascii="Calibri" w:hAnsi="Calibri" w:cs="Calibri"/>
                <w:sz w:val="22"/>
                <w:szCs w:val="22"/>
                <w:lang w:eastAsia="lt-LT"/>
              </w:rPr>
              <w:t xml:space="preserve"> </w:t>
            </w:r>
            <w:hyperlink r:id="rId5" w:tgtFrame="_blank" w:history="1">
              <w:r>
                <w:rPr>
                  <w:rStyle w:val="Hipersaitas"/>
                  <w:szCs w:val="24"/>
                  <w:lang w:eastAsia="lt-LT"/>
                </w:rPr>
                <w:t>https://www.etwinning.lt/sveikiname-etwinning-mokyklos-zenklelio-2024-2025-laimetojas/</w:t>
              </w:r>
            </w:hyperlink>
            <w:r>
              <w:rPr>
                <w:szCs w:val="24"/>
                <w:lang w:eastAsia="lt-LT"/>
              </w:rPr>
              <w:t>.</w:t>
            </w:r>
          </w:p>
          <w:p w:rsidR="002F20B1" w:rsidRDefault="002F20B1">
            <w:pPr>
              <w:spacing w:line="256" w:lineRule="auto"/>
              <w:jc w:val="both"/>
              <w:rPr>
                <w:rFonts w:ascii="Calibri" w:hAnsi="Calibri" w:cs="Calibri"/>
                <w:sz w:val="22"/>
                <w:szCs w:val="22"/>
                <w:lang w:eastAsia="lt-LT"/>
              </w:rPr>
            </w:pPr>
            <w:r>
              <w:rPr>
                <w:szCs w:val="24"/>
                <w:lang w:eastAsia="lt-LT"/>
              </w:rPr>
              <w:t xml:space="preserve">               </w:t>
            </w:r>
            <w:r>
              <w:rPr>
                <w:szCs w:val="24"/>
              </w:rPr>
              <w:t>Įgyvendindami „</w:t>
            </w:r>
            <w:proofErr w:type="spellStart"/>
            <w:r>
              <w:rPr>
                <w:szCs w:val="24"/>
              </w:rPr>
              <w:t>eTwinning</w:t>
            </w:r>
            <w:proofErr w:type="spellEnd"/>
            <w:r>
              <w:rPr>
                <w:szCs w:val="24"/>
              </w:rPr>
              <w:t>“ programą bei ERASMUS projektus, tiek mokiniai, tiek mokytojai patobulino kompiuterinio raštingumo įgūdžius, pažinimo, mokėjimo mokytis, lyderystės kompetencijas, anglų kalbos gebėjimus, įgijo tarptautinio bendravimo ir bendradarbiavimo patirties, susipažino su  inovatyviais mokymo(</w:t>
            </w:r>
            <w:proofErr w:type="spellStart"/>
            <w:r>
              <w:rPr>
                <w:szCs w:val="24"/>
              </w:rPr>
              <w:t>si</w:t>
            </w:r>
            <w:proofErr w:type="spellEnd"/>
            <w:r>
              <w:rPr>
                <w:szCs w:val="24"/>
              </w:rPr>
              <w:t>) metodais, susirado naujų draugų.</w:t>
            </w:r>
          </w:p>
          <w:p w:rsidR="002F20B1" w:rsidRDefault="002F20B1" w:rsidP="008C3FF8">
            <w:pPr>
              <w:pStyle w:val="Sraopastraipa"/>
              <w:widowControl w:val="0"/>
              <w:numPr>
                <w:ilvl w:val="0"/>
                <w:numId w:val="2"/>
              </w:numPr>
              <w:autoSpaceDE w:val="0"/>
              <w:autoSpaceDN w:val="0"/>
              <w:adjustRightInd w:val="0"/>
              <w:spacing w:line="256" w:lineRule="auto"/>
              <w:ind w:left="890" w:hanging="141"/>
              <w:jc w:val="both"/>
              <w:rPr>
                <w:szCs w:val="24"/>
              </w:rPr>
            </w:pPr>
            <w:r>
              <w:rPr>
                <w:szCs w:val="24"/>
              </w:rPr>
              <w:t xml:space="preserve">Įgyvendindama trečią uždavinį – tobulinti šiuolaikinės pamokos vadybą, plečiant mokytojų </w:t>
            </w:r>
          </w:p>
          <w:p w:rsidR="002F20B1" w:rsidRDefault="002F20B1">
            <w:pPr>
              <w:spacing w:line="256" w:lineRule="auto"/>
              <w:jc w:val="both"/>
              <w:rPr>
                <w:szCs w:val="24"/>
              </w:rPr>
            </w:pPr>
            <w:r>
              <w:rPr>
                <w:szCs w:val="24"/>
              </w:rPr>
              <w:t xml:space="preserve">dalykines ir </w:t>
            </w:r>
            <w:proofErr w:type="spellStart"/>
            <w:r>
              <w:rPr>
                <w:szCs w:val="24"/>
              </w:rPr>
              <w:t>tarpdalykines</w:t>
            </w:r>
            <w:proofErr w:type="spellEnd"/>
            <w:r>
              <w:rPr>
                <w:szCs w:val="24"/>
              </w:rPr>
              <w:t xml:space="preserve"> kompetencijas, skatinant kolegialų bendradarbiavimą, Progimnazija organizavo ne tik seminarus mokytojams apie šiuolaikinę pamoką, bet ir tyrė bei analizavo aktyvių mokymo( </w:t>
            </w:r>
            <w:proofErr w:type="spellStart"/>
            <w:r>
              <w:rPr>
                <w:szCs w:val="24"/>
              </w:rPr>
              <w:t>si</w:t>
            </w:r>
            <w:proofErr w:type="spellEnd"/>
            <w:r>
              <w:rPr>
                <w:szCs w:val="24"/>
              </w:rPr>
              <w:t>) strategijų naudojimą ugdomojoje veikloje: 2024-12-16 dieną Mokytojų tarybos posėdyje (protokolo Nr.V4-52) pristatyti tyrimo rezultatai „Aktyvių mokymosi strategijų taikymas ugdymo procese Tauralaukio progimnazijoje“, prieš tai mokytojai metodiniuose pasitarimuose dalinosi aktyvaus mokymo(</w:t>
            </w:r>
            <w:proofErr w:type="spellStart"/>
            <w:r>
              <w:rPr>
                <w:szCs w:val="24"/>
              </w:rPr>
              <w:t>si</w:t>
            </w:r>
            <w:proofErr w:type="spellEnd"/>
            <w:r>
              <w:rPr>
                <w:szCs w:val="24"/>
              </w:rPr>
              <w:t xml:space="preserve">) strategijų taikymu ugdomosiose veiklose patirtimi. Kaip parodė tyrimo rezultatai, </w:t>
            </w:r>
            <w:r>
              <w:rPr>
                <w:szCs w:val="24"/>
              </w:rPr>
              <w:lastRenderedPageBreak/>
              <w:t>sistemiškai aktyvaus mokymo(</w:t>
            </w:r>
            <w:proofErr w:type="spellStart"/>
            <w:r>
              <w:rPr>
                <w:szCs w:val="24"/>
              </w:rPr>
              <w:t>si</w:t>
            </w:r>
            <w:proofErr w:type="spellEnd"/>
            <w:r>
              <w:rPr>
                <w:szCs w:val="24"/>
              </w:rPr>
              <w:t>) strategijas, apimančias visą pedagoginę veiklą,  taiko 16 pedagogų (63,6%), epizodiškai minėtas strategijas taiko 8 pedagogai (36,4%). Patys populiariausi metodai - „Grupinis darbas“ ir „Darbas porose“ - juos įvaldę visi 22 pedagogai (100%) ir jie labiausiai naudojami ugdomojoje veikloje. 22 pedagogai (63,63%)  patvirtina, kad ugdymo(</w:t>
            </w:r>
            <w:proofErr w:type="spellStart"/>
            <w:r>
              <w:rPr>
                <w:szCs w:val="24"/>
              </w:rPr>
              <w:t>si</w:t>
            </w:r>
            <w:proofErr w:type="spellEnd"/>
            <w:r>
              <w:rPr>
                <w:szCs w:val="24"/>
              </w:rPr>
              <w:t>) procese, taikant aktyvaus mokymo(</w:t>
            </w:r>
            <w:proofErr w:type="spellStart"/>
            <w:r>
              <w:rPr>
                <w:szCs w:val="24"/>
              </w:rPr>
              <w:t>si</w:t>
            </w:r>
            <w:proofErr w:type="spellEnd"/>
            <w:r>
              <w:rPr>
                <w:szCs w:val="24"/>
              </w:rPr>
              <w:t xml:space="preserve">) strategiją, sustiprėjo mokinių mokymosi motyvacija, pagerėjo mokomos medžiagos įsisavinimas, suaktyvėjo mokinių darbas pamokose, 9 (40,9%) pedagogų teigė, kad pagerėjo bendradarbiavimo įgūdžiai, 20 (90,9%) pedagogų pripažįsta, kad aktyviosios mokymo strategijos, dažnai taikomos ugdymo procese, formuoja vertinimo, įsivertinimo bei refleksijos įgūdžius. Nemažai dėmesio skirta ir mokinių mokymosi motyvacijos skatinimui. Atlikta 5-8 klasių mokinių anketinė apklausa, rezultatai pristatyti 2024-10-29 Mokytojų tarybos posėdyje (protokolo Nr.V4-36) skaitytas pranešimas „Tvirta mokymosi motyvacija- mokymosi visą gyvenimą pagrindas“. Mokytojams priminti mokymosi motyvacijos formavimo būdai, kaip vienas iš kelių, vedančių ne tik į mokymosi sėkmę, bet ir į sėkmingą tolimesnį  žmogaus gyvenimą, analizuota </w:t>
            </w:r>
            <w:r>
              <w:t xml:space="preserve">motyvacijos samprata, </w:t>
            </w:r>
            <w:r>
              <w:rPr>
                <w:szCs w:val="24"/>
              </w:rPr>
              <w:t>sudominimo vaidmuo motyvacijoje,</w:t>
            </w:r>
            <w:r>
              <w:t xml:space="preserve"> </w:t>
            </w:r>
            <w:r>
              <w:rPr>
                <w:szCs w:val="24"/>
              </w:rPr>
              <w:t>optimalių mokymo(</w:t>
            </w:r>
            <w:proofErr w:type="spellStart"/>
            <w:r>
              <w:rPr>
                <w:szCs w:val="24"/>
              </w:rPr>
              <w:t>si</w:t>
            </w:r>
            <w:proofErr w:type="spellEnd"/>
            <w:r>
              <w:rPr>
                <w:szCs w:val="24"/>
              </w:rPr>
              <w:t>) sąlygų sudarymo įtaka, priminta mokytojo pareiga suformuoti mokinio įprotį mokytis, padėti susiformuluoti asmeninius mokymosi tikslus bei algoritmus jiems pasiekti, tyrinėti naujas mokymo strategijas ir taikyti jas mokymosi procese, mokymąsi paversti maloniu ir kūrybišku užsiėmimu, pasitelkus mokymosi motyvacijos skatinimo ir mokymosi barjerų šalinimo žinias.</w:t>
            </w:r>
          </w:p>
          <w:p w:rsidR="002F20B1" w:rsidRDefault="002F20B1">
            <w:pPr>
              <w:spacing w:line="256" w:lineRule="auto"/>
              <w:jc w:val="both"/>
            </w:pPr>
            <w:r>
              <w:rPr>
                <w:szCs w:val="24"/>
              </w:rPr>
              <w:t xml:space="preserve"> </w:t>
            </w:r>
            <w:r>
              <w:t xml:space="preserve">           </w:t>
            </w:r>
            <w:r>
              <w:rPr>
                <w:szCs w:val="24"/>
              </w:rPr>
              <w:t>2024-04-30 kartu su socialiniais partneriais Kretingos rajono Aleksandro Stulginskio mokykla-daugiafunkciu centru Progimnazijoje organizuota metodinė diena „</w:t>
            </w:r>
            <w:proofErr w:type="spellStart"/>
            <w:r>
              <w:rPr>
                <w:szCs w:val="24"/>
              </w:rPr>
              <w:t>Tarpdalykinės</w:t>
            </w:r>
            <w:proofErr w:type="spellEnd"/>
            <w:r>
              <w:rPr>
                <w:szCs w:val="24"/>
              </w:rPr>
              <w:t xml:space="preserve"> integracijos patirtys, iššūkiai, atradimai“. Jos metu mokytojai, skaitydami pranešimus, dalijosi patirtimi apie </w:t>
            </w:r>
            <w:proofErr w:type="spellStart"/>
            <w:r>
              <w:rPr>
                <w:szCs w:val="24"/>
              </w:rPr>
              <w:t>tarpdalykinių</w:t>
            </w:r>
            <w:proofErr w:type="spellEnd"/>
            <w:r>
              <w:rPr>
                <w:szCs w:val="24"/>
              </w:rPr>
              <w:t xml:space="preserve"> ryšių įvairovę pagrindiniame ugdyme, integracijos galimybes įvairiose veiklose, kūrybines ir integruotas užduotis mokomųjų dalykų pamokose. Perskaityti 8 pranešimai. Metodinėje dienoje dalyvavo 35 Tauralaukio progimnazijos mokytojai (72,9% nuo bendro mokytojų skaičiaus) ir 23 Kretingos rajono Aleksandro Stulginskio mokyklos-daugiafunkcio centro mokytojai ir vadovai. 2024 metų kovo-balandžio mėnesiais Progimnazijoje organizuotos 35 atviros pamokos/ veiklos „Svečiuose pas kolegą“, (16 veiklų daugiau lyginant su praėjusiais metais). Jose dalyvavo 20 mokytojų, tai sudaro 42% nuo bendro mokytojų skaičiaus, vesta 15 integruotų pamokų/veiklų, kuriose dalyvavo 36 mokytojai, tai sudaro 75%.</w:t>
            </w:r>
          </w:p>
          <w:p w:rsidR="002F20B1" w:rsidRDefault="002F20B1">
            <w:pPr>
              <w:widowControl w:val="0"/>
              <w:autoSpaceDE w:val="0"/>
              <w:autoSpaceDN w:val="0"/>
              <w:adjustRightInd w:val="0"/>
              <w:spacing w:line="256" w:lineRule="auto"/>
              <w:jc w:val="both"/>
              <w:rPr>
                <w:szCs w:val="24"/>
              </w:rPr>
            </w:pPr>
            <w:r>
              <w:rPr>
                <w:szCs w:val="24"/>
              </w:rPr>
              <w:t xml:space="preserve">            2024 m. Progimnazijoje vykdytas veiklos kokybės įsivertinimas „Lyderystė ir vadyba“. Įsivertinime dalyvavo 81% mokytojų, 50% mokinių ir 43% tėvų (globėjų). 85,1% mokinių, 92,7% mokytojų ir 89,6% tėvų (globėjų) Progimnazijos mikroklimatą vertina puikiai arba pakankamai gerai, 90,6% mokinių, 100% mokytojų ir 95% tėvų (globėjų) yra patenkinti, kad mokosi/dirba arba jų vaikas lanko Tauralaukio progimnaziją. 83,9% mokinių, 87,8 % mokytojų ir 94,2% tėvų (globėjų) jaučiasi saugiai arba dažniausiai saugiai. Su teiginiu, kad Progimnazija skatina ugdytis lyderystės gebėjimus visiškai arba dažniausiai sutinka 69,6% mokinių, 92,7% mokytojų ir 73% tėvų (globėjų). Teiginiui, kad vadovai remia bendruomeniškumą skatinančias veiklas visiškai arba ko gero remia sutiko 77,7% mokinių, 95,1% mokytojų,78,9% tėvų (globėjų). Progimnaziją, kaip kūrybingą ir besimokančią įvardijo 80,1% mokinių, 92,7% mokytojų ir 83% tėvų (globėjų). Progimnazijos personalas laiko save viena komanda, siekiančia bendrų tikslų. Tai bendruomenė, kurios santykiai grindžiami geranoriškumu vienas kitam ir kolegialia pagalba. Bendras darbas skatina asmenybių raišką. Dirbdami kaip viena ambicinga profesionalų komanda, mokytojai pasiekia aukštesnių individualių ir bendrų rezultatų. Tėvai (globėjai) įsitraukia į vaikų ugdymą(</w:t>
            </w:r>
            <w:proofErr w:type="spellStart"/>
            <w:r>
              <w:rPr>
                <w:szCs w:val="24"/>
              </w:rPr>
              <w:t>si</w:t>
            </w:r>
            <w:proofErr w:type="spellEnd"/>
            <w:r>
              <w:rPr>
                <w:szCs w:val="24"/>
              </w:rPr>
              <w:t>) įvairiomis formomis (plėsdami jų kultūrinį akiratį, skatindami pažintinį aktyvumą, padėdami išsikelti ugdymosi tikslus ir jų siekti, o taip pat dalyvaudami įvairiose Progimnazijos veiklose, individualiuose ir bendruose susitikimuose su mokytojais, inicijuodami prasmingas veiklas, projektus, vesdami pamokas ar kitus užsiėmimus).</w:t>
            </w:r>
          </w:p>
          <w:p w:rsidR="002F20B1" w:rsidRDefault="002F20B1">
            <w:pPr>
              <w:widowControl w:val="0"/>
              <w:autoSpaceDE w:val="0"/>
              <w:autoSpaceDN w:val="0"/>
              <w:adjustRightInd w:val="0"/>
              <w:spacing w:line="256" w:lineRule="auto"/>
              <w:jc w:val="both"/>
              <w:rPr>
                <w:szCs w:val="24"/>
              </w:rPr>
            </w:pPr>
            <w:r>
              <w:rPr>
                <w:szCs w:val="24"/>
                <w:lang w:eastAsia="lt-LT"/>
              </w:rPr>
              <w:t xml:space="preserve">          Į</w:t>
            </w:r>
            <w:r>
              <w:rPr>
                <w:szCs w:val="24"/>
              </w:rPr>
              <w:t xml:space="preserve">gyvendinti ketvirtą uždavinį – kurti šiuolaikinę, mokymąsi skatinančią aplinką, Tauralaukio </w:t>
            </w:r>
          </w:p>
          <w:p w:rsidR="002F20B1" w:rsidRDefault="002F20B1">
            <w:pPr>
              <w:widowControl w:val="0"/>
              <w:autoSpaceDE w:val="0"/>
              <w:autoSpaceDN w:val="0"/>
              <w:adjustRightInd w:val="0"/>
              <w:spacing w:line="256" w:lineRule="auto"/>
              <w:jc w:val="both"/>
              <w:rPr>
                <w:szCs w:val="24"/>
              </w:rPr>
            </w:pPr>
            <w:r>
              <w:rPr>
                <w:szCs w:val="24"/>
              </w:rPr>
              <w:t xml:space="preserve">progimnazijai sekėsi puikiai: 2024-2025 mokslo metais Progimnazija persikėlė į naujas patalpas Senvagės gatvėje. Naujame pastate moderni biblioteka- informacijos centras, kuriame įrengta   16 kompiuterizuotų darbo vietų, 2 informacinių technologijų kabinetai su 32 kompiuterizuotomis darbo vietomis, 280 vietų aktų salė, kurioje įrengta vaizdo ir garso aparatūra, 250 vietų valgykla,  biologijos, </w:t>
            </w:r>
            <w:r>
              <w:rPr>
                <w:szCs w:val="24"/>
              </w:rPr>
              <w:lastRenderedPageBreak/>
              <w:t xml:space="preserve">fizikos ir chemijos laboratorijos jų aprūpinimui mokymo priemonėmis išleista (30649,00Eur.), </w:t>
            </w:r>
            <w:proofErr w:type="spellStart"/>
            <w:r>
              <w:rPr>
                <w:szCs w:val="24"/>
              </w:rPr>
              <w:t>robotikos</w:t>
            </w:r>
            <w:proofErr w:type="spellEnd"/>
            <w:r>
              <w:rPr>
                <w:szCs w:val="24"/>
              </w:rPr>
              <w:t xml:space="preserve"> ir sensorinis kabinetai, jų įrengimui išleista 44763,00 Eur., sukurti šiuolaikinius reikalavimus atitinkantys 3 technologijų kabinetai: dirbtuvės, siuvykla ir virtuvė, įrengti 14 pradinio ugdymo kabinetų, jie patogiai atskirais sektoriais išdėstyti pirmame ir dalyje antro aukšto, 19 mokomųjų dalykų kabinetų, skirtų pagrindinio ugdymo 5-8 klasių mokiniams, jie išdėstyti antrame ir trečiame aukštuose. Patogiai įrengti pagalbos mokiniui specialistų kabinetai, administracinės patalpos, mokytojų metodinis kabinetas. Visi mokomieji kabinetai aprūpinti išmaniosiomis lentomis, kompiuteriais, naujais mokykliniais baldais. Progimnazijoje įrengtas žiemos sodas –oranžerija, du amfiteatrai (vidaus ir lauko) leidžia mokytojams kūrybiškai netradicinėse erdvėse organizuoti įvairias ugdomąsias veiklas. Progimnazija turi puikų sporto kompleksą: 2 sporto sales pradinio ir pagrindinio ugdymo mokiniams, šiuolaikiškai įrengtus persirengimo kambarius, antrame aukšte įrengtas treniruoklių ir choreografijos klases. Šalia Progimnazijos įrengtas sporto aikštynas. Mokinių saugumui užtikrinti koridoriuose, rūbinėse ir galerijoje įrengta 50 vaizdo kamerų. Įgyvendinant Klaipėdos miesto savivaldybės Mero 2024-09-17 potvarkį Nr. M-1066 „Dėl 2025 metų veiklos prioritetų švietimo srityje patvirtinimo“ vykdant rūkymo, narkotinių ir psichotropinių medžiagų vartojimo švietimo įstaigose užkardymo, kontrolės stiprinimo prevenciją, Progimnazijos visuose šešiuose 5-8 klasių mokinių WC įrengti dūmų detektoriai už1820,00 Eur..</w:t>
            </w:r>
          </w:p>
          <w:p w:rsidR="002F20B1" w:rsidRDefault="002F20B1">
            <w:pPr>
              <w:widowControl w:val="0"/>
              <w:autoSpaceDE w:val="0"/>
              <w:autoSpaceDN w:val="0"/>
              <w:adjustRightInd w:val="0"/>
              <w:spacing w:line="256" w:lineRule="auto"/>
              <w:jc w:val="both"/>
              <w:rPr>
                <w:szCs w:val="24"/>
              </w:rPr>
            </w:pPr>
            <w:r>
              <w:rPr>
                <w:szCs w:val="24"/>
              </w:rPr>
              <w:t xml:space="preserve">             Progimnazija kūrė ir plėtojo edukacines erdves, turtino mokomųjų priemonių fondą: per 2024 metus Progimnazija įsigijo 3345 egzempliorius vadovėlių (48910,00 Eur.), 76 mokymo priemones (1304,00 Eur.).</w:t>
            </w:r>
            <w:r>
              <w:rPr>
                <w:color w:val="FF0000"/>
                <w:szCs w:val="24"/>
              </w:rPr>
              <w:t xml:space="preserve"> </w:t>
            </w:r>
            <w:r>
              <w:rPr>
                <w:szCs w:val="24"/>
              </w:rPr>
              <w:t>Ugdymo aplinkos turtinimo planas įvykdytas, sistemingai kuriama šiuolaikinė, mokymąsi skatinanti aplinka, lėšos panaudotos racionaliai, taupiai, sprendimai dėl jų panaudojimo derinti su savivaldos institucijomis, bendruomene.</w:t>
            </w:r>
          </w:p>
          <w:p w:rsidR="002F20B1" w:rsidRDefault="002F20B1" w:rsidP="008C3FF8">
            <w:pPr>
              <w:numPr>
                <w:ilvl w:val="0"/>
                <w:numId w:val="3"/>
              </w:numPr>
              <w:tabs>
                <w:tab w:val="left" w:pos="0"/>
                <w:tab w:val="left" w:pos="851"/>
              </w:tabs>
              <w:spacing w:line="252" w:lineRule="auto"/>
              <w:ind w:left="33"/>
              <w:jc w:val="both"/>
              <w:rPr>
                <w:szCs w:val="24"/>
              </w:rPr>
            </w:pPr>
            <w:r>
              <w:rPr>
                <w:szCs w:val="24"/>
              </w:rPr>
              <w:t xml:space="preserve"> 2024 m. Progimnazijos finansinė situacija buvo tokia:</w:t>
            </w:r>
          </w:p>
          <w:tbl>
            <w:tblPr>
              <w:tblStyle w:val="Lentelstinklelis1"/>
              <w:tblW w:w="10515" w:type="dxa"/>
              <w:tblInd w:w="0" w:type="dxa"/>
              <w:tblLayout w:type="fixed"/>
              <w:tblLook w:val="04A0" w:firstRow="1" w:lastRow="0" w:firstColumn="1" w:lastColumn="0" w:noHBand="0" w:noVBand="1"/>
            </w:tblPr>
            <w:tblGrid>
              <w:gridCol w:w="2318"/>
              <w:gridCol w:w="1470"/>
              <w:gridCol w:w="1236"/>
              <w:gridCol w:w="1107"/>
              <w:gridCol w:w="4384"/>
            </w:tblGrid>
            <w:tr w:rsidR="002F20B1">
              <w:trPr>
                <w:tblHeader/>
              </w:trPr>
              <w:tc>
                <w:tcPr>
                  <w:tcW w:w="2319" w:type="dxa"/>
                  <w:vMerge w:val="restart"/>
                  <w:tcBorders>
                    <w:top w:val="single" w:sz="4" w:space="0" w:color="auto"/>
                    <w:left w:val="single" w:sz="4" w:space="0" w:color="auto"/>
                    <w:bottom w:val="single" w:sz="4" w:space="0" w:color="auto"/>
                    <w:right w:val="single" w:sz="4" w:space="0" w:color="auto"/>
                  </w:tcBorders>
                  <w:hideMark/>
                </w:tcPr>
                <w:p w:rsidR="002F20B1" w:rsidRDefault="002F20B1" w:rsidP="006F1675">
                  <w:pPr>
                    <w:framePr w:hSpace="180" w:wrap="around" w:vAnchor="text" w:hAnchor="page" w:x="1166" w:y="196"/>
                    <w:jc w:val="both"/>
                    <w:rPr>
                      <w:szCs w:val="24"/>
                      <w:lang w:eastAsia="lt-LT"/>
                    </w:rPr>
                  </w:pPr>
                  <w:proofErr w:type="spellStart"/>
                  <w:r>
                    <w:rPr>
                      <w:szCs w:val="24"/>
                      <w:lang w:eastAsia="lt-LT"/>
                    </w:rPr>
                    <w:t>Finansavimo</w:t>
                  </w:r>
                  <w:proofErr w:type="spellEnd"/>
                  <w:r>
                    <w:rPr>
                      <w:szCs w:val="24"/>
                      <w:lang w:eastAsia="lt-LT"/>
                    </w:rPr>
                    <w:t xml:space="preserve"> </w:t>
                  </w:r>
                  <w:proofErr w:type="spellStart"/>
                  <w:r>
                    <w:rPr>
                      <w:szCs w:val="24"/>
                      <w:lang w:eastAsia="lt-LT"/>
                    </w:rPr>
                    <w:t>šaltinis</w:t>
                  </w:r>
                  <w:proofErr w:type="spellEnd"/>
                </w:p>
              </w:tc>
              <w:tc>
                <w:tcPr>
                  <w:tcW w:w="3813" w:type="dxa"/>
                  <w:gridSpan w:val="3"/>
                  <w:tcBorders>
                    <w:top w:val="single" w:sz="4" w:space="0" w:color="auto"/>
                    <w:left w:val="single" w:sz="4" w:space="0" w:color="auto"/>
                    <w:bottom w:val="single" w:sz="4" w:space="0" w:color="auto"/>
                    <w:right w:val="single" w:sz="4" w:space="0" w:color="auto"/>
                  </w:tcBorders>
                  <w:hideMark/>
                </w:tcPr>
                <w:p w:rsidR="002F20B1" w:rsidRDefault="002F20B1" w:rsidP="006F1675">
                  <w:pPr>
                    <w:framePr w:hSpace="180" w:wrap="around" w:vAnchor="text" w:hAnchor="page" w:x="1166" w:y="196"/>
                    <w:jc w:val="center"/>
                    <w:rPr>
                      <w:szCs w:val="24"/>
                      <w:lang w:eastAsia="lt-LT"/>
                    </w:rPr>
                  </w:pPr>
                  <w:proofErr w:type="spellStart"/>
                  <w:r>
                    <w:rPr>
                      <w:szCs w:val="24"/>
                      <w:lang w:eastAsia="lt-LT"/>
                    </w:rPr>
                    <w:t>Lėšos</w:t>
                  </w:r>
                  <w:proofErr w:type="spellEnd"/>
                  <w:r>
                    <w:rPr>
                      <w:szCs w:val="24"/>
                      <w:lang w:eastAsia="lt-LT"/>
                    </w:rPr>
                    <w:t xml:space="preserve"> (</w:t>
                  </w:r>
                  <w:proofErr w:type="spellStart"/>
                  <w:r>
                    <w:rPr>
                      <w:szCs w:val="24"/>
                      <w:lang w:eastAsia="lt-LT"/>
                    </w:rPr>
                    <w:t>tūkst</w:t>
                  </w:r>
                  <w:proofErr w:type="spellEnd"/>
                  <w:r>
                    <w:rPr>
                      <w:szCs w:val="24"/>
                      <w:lang w:eastAsia="lt-LT"/>
                    </w:rPr>
                    <w:t>. Eur)</w:t>
                  </w:r>
                </w:p>
              </w:tc>
              <w:tc>
                <w:tcPr>
                  <w:tcW w:w="4384" w:type="dxa"/>
                  <w:vMerge w:val="restart"/>
                  <w:tcBorders>
                    <w:top w:val="single" w:sz="4" w:space="0" w:color="auto"/>
                    <w:left w:val="single" w:sz="4" w:space="0" w:color="auto"/>
                    <w:bottom w:val="single" w:sz="4" w:space="0" w:color="auto"/>
                    <w:right w:val="single" w:sz="4" w:space="0" w:color="auto"/>
                  </w:tcBorders>
                </w:tcPr>
                <w:p w:rsidR="002F20B1" w:rsidRDefault="002F20B1" w:rsidP="006F1675">
                  <w:pPr>
                    <w:framePr w:hSpace="180" w:wrap="around" w:vAnchor="text" w:hAnchor="page" w:x="1166" w:y="196"/>
                    <w:jc w:val="both"/>
                    <w:rPr>
                      <w:szCs w:val="24"/>
                      <w:lang w:eastAsia="lt-LT"/>
                    </w:rPr>
                  </w:pPr>
                  <w:proofErr w:type="spellStart"/>
                  <w:r>
                    <w:rPr>
                      <w:szCs w:val="24"/>
                      <w:lang w:eastAsia="lt-LT"/>
                    </w:rPr>
                    <w:t>Pastabos</w:t>
                  </w:r>
                  <w:proofErr w:type="spellEnd"/>
                </w:p>
                <w:p w:rsidR="002F20B1" w:rsidRDefault="002F20B1" w:rsidP="006F1675">
                  <w:pPr>
                    <w:framePr w:hSpace="180" w:wrap="around" w:vAnchor="text" w:hAnchor="page" w:x="1166" w:y="196"/>
                    <w:jc w:val="both"/>
                    <w:rPr>
                      <w:szCs w:val="24"/>
                      <w:lang w:eastAsia="lt-LT"/>
                    </w:rPr>
                  </w:pPr>
                </w:p>
              </w:tc>
            </w:tr>
            <w:tr w:rsidR="002F20B1">
              <w:trPr>
                <w:tblHeader/>
              </w:trPr>
              <w:tc>
                <w:tcPr>
                  <w:tcW w:w="5025" w:type="dxa"/>
                  <w:vMerge/>
                  <w:tcBorders>
                    <w:top w:val="single" w:sz="4" w:space="0" w:color="auto"/>
                    <w:left w:val="single" w:sz="4" w:space="0" w:color="auto"/>
                    <w:bottom w:val="single" w:sz="4" w:space="0" w:color="auto"/>
                    <w:right w:val="single" w:sz="4" w:space="0" w:color="auto"/>
                  </w:tcBorders>
                  <w:vAlign w:val="center"/>
                  <w:hideMark/>
                </w:tcPr>
                <w:p w:rsidR="002F20B1" w:rsidRDefault="002F20B1" w:rsidP="006F1675">
                  <w:pPr>
                    <w:framePr w:hSpace="180" w:wrap="around" w:vAnchor="text" w:hAnchor="page" w:x="1166" w:y="196"/>
                    <w:rPr>
                      <w:szCs w:val="24"/>
                      <w:lang w:eastAsia="lt-LT"/>
                    </w:rPr>
                  </w:pPr>
                </w:p>
              </w:tc>
              <w:tc>
                <w:tcPr>
                  <w:tcW w:w="1470" w:type="dxa"/>
                  <w:tcBorders>
                    <w:top w:val="single" w:sz="4" w:space="0" w:color="auto"/>
                    <w:left w:val="single" w:sz="4" w:space="0" w:color="auto"/>
                    <w:bottom w:val="single" w:sz="4" w:space="0" w:color="auto"/>
                    <w:right w:val="single" w:sz="4" w:space="0" w:color="auto"/>
                  </w:tcBorders>
                  <w:hideMark/>
                </w:tcPr>
                <w:p w:rsidR="002F20B1" w:rsidRDefault="002F20B1" w:rsidP="006F1675">
                  <w:pPr>
                    <w:framePr w:hSpace="180" w:wrap="around" w:vAnchor="text" w:hAnchor="page" w:x="1166" w:y="196"/>
                    <w:jc w:val="both"/>
                    <w:rPr>
                      <w:szCs w:val="24"/>
                      <w:lang w:eastAsia="lt-LT"/>
                    </w:rPr>
                  </w:pPr>
                  <w:proofErr w:type="spellStart"/>
                  <w:r>
                    <w:rPr>
                      <w:szCs w:val="24"/>
                      <w:lang w:eastAsia="lt-LT"/>
                    </w:rPr>
                    <w:t>Planas</w:t>
                  </w:r>
                  <w:proofErr w:type="spellEnd"/>
                  <w:r>
                    <w:rPr>
                      <w:szCs w:val="24"/>
                      <w:lang w:eastAsia="lt-LT"/>
                    </w:rPr>
                    <w:t xml:space="preserve"> (</w:t>
                  </w:r>
                  <w:proofErr w:type="spellStart"/>
                  <w:r>
                    <w:rPr>
                      <w:szCs w:val="24"/>
                      <w:lang w:eastAsia="lt-LT"/>
                    </w:rPr>
                    <w:t>patikslintas</w:t>
                  </w:r>
                  <w:proofErr w:type="spellEnd"/>
                  <w:r>
                    <w:rPr>
                      <w:szCs w:val="24"/>
                      <w:lang w:eastAsia="lt-LT"/>
                    </w:rPr>
                    <w:t>)</w:t>
                  </w:r>
                </w:p>
              </w:tc>
              <w:tc>
                <w:tcPr>
                  <w:tcW w:w="1236" w:type="dxa"/>
                  <w:tcBorders>
                    <w:top w:val="single" w:sz="4" w:space="0" w:color="auto"/>
                    <w:left w:val="single" w:sz="4" w:space="0" w:color="auto"/>
                    <w:bottom w:val="single" w:sz="4" w:space="0" w:color="auto"/>
                    <w:right w:val="single" w:sz="4" w:space="0" w:color="auto"/>
                  </w:tcBorders>
                  <w:hideMark/>
                </w:tcPr>
                <w:p w:rsidR="002F20B1" w:rsidRDefault="002F20B1" w:rsidP="006F1675">
                  <w:pPr>
                    <w:framePr w:hSpace="180" w:wrap="around" w:vAnchor="text" w:hAnchor="page" w:x="1166" w:y="196"/>
                    <w:jc w:val="both"/>
                    <w:rPr>
                      <w:szCs w:val="24"/>
                      <w:lang w:eastAsia="lt-LT"/>
                    </w:rPr>
                  </w:pPr>
                  <w:proofErr w:type="spellStart"/>
                  <w:r>
                    <w:rPr>
                      <w:szCs w:val="24"/>
                      <w:lang w:eastAsia="lt-LT"/>
                    </w:rPr>
                    <w:t>Panaudota</w:t>
                  </w:r>
                  <w:proofErr w:type="spellEnd"/>
                  <w:r>
                    <w:rPr>
                      <w:szCs w:val="24"/>
                      <w:lang w:eastAsia="lt-LT"/>
                    </w:rPr>
                    <w:t xml:space="preserve"> </w:t>
                  </w:r>
                  <w:proofErr w:type="spellStart"/>
                  <w:r>
                    <w:rPr>
                      <w:szCs w:val="24"/>
                      <w:lang w:eastAsia="lt-LT"/>
                    </w:rPr>
                    <w:t>lėšų</w:t>
                  </w:r>
                  <w:proofErr w:type="spellEnd"/>
                </w:p>
              </w:tc>
              <w:tc>
                <w:tcPr>
                  <w:tcW w:w="1107" w:type="dxa"/>
                  <w:tcBorders>
                    <w:top w:val="single" w:sz="4" w:space="0" w:color="auto"/>
                    <w:left w:val="single" w:sz="4" w:space="0" w:color="auto"/>
                    <w:bottom w:val="single" w:sz="4" w:space="0" w:color="auto"/>
                    <w:right w:val="single" w:sz="4" w:space="0" w:color="auto"/>
                  </w:tcBorders>
                  <w:hideMark/>
                </w:tcPr>
                <w:p w:rsidR="002F20B1" w:rsidRDefault="002F20B1" w:rsidP="006F1675">
                  <w:pPr>
                    <w:framePr w:hSpace="180" w:wrap="around" w:vAnchor="text" w:hAnchor="page" w:x="1166" w:y="196"/>
                    <w:jc w:val="both"/>
                    <w:rPr>
                      <w:szCs w:val="24"/>
                      <w:lang w:eastAsia="lt-LT"/>
                    </w:rPr>
                  </w:pPr>
                  <w:proofErr w:type="spellStart"/>
                  <w:r>
                    <w:rPr>
                      <w:szCs w:val="24"/>
                      <w:lang w:eastAsia="lt-LT"/>
                    </w:rPr>
                    <w:t>Įvykdymas</w:t>
                  </w:r>
                  <w:proofErr w:type="spellEnd"/>
                  <w:r>
                    <w:rPr>
                      <w:szCs w:val="24"/>
                      <w:lang w:eastAsia="lt-LT"/>
                    </w:rPr>
                    <w:t xml:space="preserve"> (%)</w:t>
                  </w:r>
                </w:p>
              </w:tc>
              <w:tc>
                <w:tcPr>
                  <w:tcW w:w="4384" w:type="dxa"/>
                  <w:vMerge/>
                  <w:tcBorders>
                    <w:top w:val="single" w:sz="4" w:space="0" w:color="auto"/>
                    <w:left w:val="single" w:sz="4" w:space="0" w:color="auto"/>
                    <w:bottom w:val="single" w:sz="4" w:space="0" w:color="auto"/>
                    <w:right w:val="single" w:sz="4" w:space="0" w:color="auto"/>
                  </w:tcBorders>
                  <w:vAlign w:val="center"/>
                  <w:hideMark/>
                </w:tcPr>
                <w:p w:rsidR="002F20B1" w:rsidRDefault="002F20B1" w:rsidP="006F1675">
                  <w:pPr>
                    <w:framePr w:hSpace="180" w:wrap="around" w:vAnchor="text" w:hAnchor="page" w:x="1166" w:y="196"/>
                    <w:rPr>
                      <w:szCs w:val="24"/>
                      <w:lang w:eastAsia="lt-LT"/>
                    </w:rPr>
                  </w:pPr>
                </w:p>
              </w:tc>
            </w:tr>
            <w:tr w:rsidR="002F20B1">
              <w:trPr>
                <w:trHeight w:val="415"/>
              </w:trPr>
              <w:tc>
                <w:tcPr>
                  <w:tcW w:w="2319" w:type="dxa"/>
                  <w:tcBorders>
                    <w:top w:val="single" w:sz="4" w:space="0" w:color="auto"/>
                    <w:left w:val="single" w:sz="4" w:space="0" w:color="auto"/>
                    <w:bottom w:val="single" w:sz="4" w:space="0" w:color="auto"/>
                    <w:right w:val="single" w:sz="4" w:space="0" w:color="auto"/>
                  </w:tcBorders>
                  <w:hideMark/>
                </w:tcPr>
                <w:p w:rsidR="002F20B1" w:rsidRDefault="002F20B1" w:rsidP="006F1675">
                  <w:pPr>
                    <w:framePr w:hSpace="180" w:wrap="around" w:vAnchor="text" w:hAnchor="page" w:x="1166" w:y="196"/>
                    <w:rPr>
                      <w:szCs w:val="24"/>
                      <w:lang w:eastAsia="lt-LT"/>
                    </w:rPr>
                  </w:pPr>
                  <w:proofErr w:type="spellStart"/>
                  <w:r>
                    <w:rPr>
                      <w:szCs w:val="24"/>
                      <w:lang w:eastAsia="lt-LT"/>
                    </w:rPr>
                    <w:t>Savivaldybės</w:t>
                  </w:r>
                  <w:proofErr w:type="spellEnd"/>
                  <w:r>
                    <w:rPr>
                      <w:szCs w:val="24"/>
                      <w:lang w:eastAsia="lt-LT"/>
                    </w:rPr>
                    <w:t xml:space="preserve"> </w:t>
                  </w:r>
                  <w:proofErr w:type="spellStart"/>
                  <w:r>
                    <w:rPr>
                      <w:szCs w:val="24"/>
                      <w:lang w:eastAsia="lt-LT"/>
                    </w:rPr>
                    <w:t>biudžetas</w:t>
                  </w:r>
                  <w:proofErr w:type="spellEnd"/>
                  <w:r>
                    <w:rPr>
                      <w:szCs w:val="24"/>
                      <w:lang w:eastAsia="lt-LT"/>
                    </w:rPr>
                    <w:t xml:space="preserve"> (SB)</w:t>
                  </w:r>
                </w:p>
              </w:tc>
              <w:tc>
                <w:tcPr>
                  <w:tcW w:w="1470" w:type="dxa"/>
                  <w:tcBorders>
                    <w:top w:val="single" w:sz="4" w:space="0" w:color="auto"/>
                    <w:left w:val="single" w:sz="4" w:space="0" w:color="auto"/>
                    <w:bottom w:val="single" w:sz="4" w:space="0" w:color="auto"/>
                    <w:right w:val="single" w:sz="4" w:space="0" w:color="auto"/>
                  </w:tcBorders>
                  <w:hideMark/>
                </w:tcPr>
                <w:p w:rsidR="002F20B1" w:rsidRDefault="002F20B1" w:rsidP="006F1675">
                  <w:pPr>
                    <w:framePr w:hSpace="180" w:wrap="around" w:vAnchor="text" w:hAnchor="page" w:x="1166" w:y="196"/>
                    <w:jc w:val="center"/>
                    <w:rPr>
                      <w:szCs w:val="24"/>
                      <w:lang w:eastAsia="lt-LT"/>
                    </w:rPr>
                  </w:pPr>
                  <w:r>
                    <w:rPr>
                      <w:szCs w:val="24"/>
                      <w:lang w:eastAsia="lt-LT"/>
                    </w:rPr>
                    <w:t>1163,775</w:t>
                  </w:r>
                </w:p>
              </w:tc>
              <w:tc>
                <w:tcPr>
                  <w:tcW w:w="1236" w:type="dxa"/>
                  <w:tcBorders>
                    <w:top w:val="single" w:sz="4" w:space="0" w:color="auto"/>
                    <w:left w:val="single" w:sz="4" w:space="0" w:color="auto"/>
                    <w:bottom w:val="single" w:sz="4" w:space="0" w:color="auto"/>
                    <w:right w:val="single" w:sz="4" w:space="0" w:color="auto"/>
                  </w:tcBorders>
                  <w:hideMark/>
                </w:tcPr>
                <w:p w:rsidR="002F20B1" w:rsidRDefault="002F20B1" w:rsidP="006F1675">
                  <w:pPr>
                    <w:framePr w:hSpace="180" w:wrap="around" w:vAnchor="text" w:hAnchor="page" w:x="1166" w:y="196"/>
                    <w:jc w:val="center"/>
                    <w:rPr>
                      <w:szCs w:val="24"/>
                      <w:lang w:eastAsia="lt-LT"/>
                    </w:rPr>
                  </w:pPr>
                  <w:r>
                    <w:rPr>
                      <w:szCs w:val="24"/>
                      <w:lang w:eastAsia="lt-LT"/>
                    </w:rPr>
                    <w:t>1155,793</w:t>
                  </w:r>
                </w:p>
              </w:tc>
              <w:tc>
                <w:tcPr>
                  <w:tcW w:w="1107" w:type="dxa"/>
                  <w:tcBorders>
                    <w:top w:val="single" w:sz="4" w:space="0" w:color="auto"/>
                    <w:left w:val="single" w:sz="4" w:space="0" w:color="auto"/>
                    <w:bottom w:val="single" w:sz="4" w:space="0" w:color="auto"/>
                    <w:right w:val="single" w:sz="4" w:space="0" w:color="auto"/>
                  </w:tcBorders>
                  <w:hideMark/>
                </w:tcPr>
                <w:p w:rsidR="002F20B1" w:rsidRDefault="002F20B1" w:rsidP="006F1675">
                  <w:pPr>
                    <w:framePr w:hSpace="180" w:wrap="around" w:vAnchor="text" w:hAnchor="page" w:x="1166" w:y="196"/>
                    <w:jc w:val="center"/>
                    <w:rPr>
                      <w:szCs w:val="24"/>
                      <w:lang w:eastAsia="lt-LT"/>
                    </w:rPr>
                  </w:pPr>
                  <w:r>
                    <w:rPr>
                      <w:szCs w:val="24"/>
                      <w:lang w:eastAsia="lt-LT"/>
                    </w:rPr>
                    <w:t>99,31</w:t>
                  </w:r>
                </w:p>
              </w:tc>
              <w:tc>
                <w:tcPr>
                  <w:tcW w:w="4384" w:type="dxa"/>
                  <w:tcBorders>
                    <w:top w:val="single" w:sz="4" w:space="0" w:color="auto"/>
                    <w:left w:val="single" w:sz="4" w:space="0" w:color="auto"/>
                    <w:bottom w:val="single" w:sz="4" w:space="0" w:color="auto"/>
                    <w:right w:val="single" w:sz="4" w:space="0" w:color="auto"/>
                  </w:tcBorders>
                </w:tcPr>
                <w:p w:rsidR="002F20B1" w:rsidRDefault="002F20B1" w:rsidP="006F1675">
                  <w:pPr>
                    <w:framePr w:hSpace="180" w:wrap="around" w:vAnchor="text" w:hAnchor="page" w:x="1166" w:y="196"/>
                    <w:jc w:val="both"/>
                    <w:rPr>
                      <w:szCs w:val="24"/>
                      <w:lang w:eastAsia="lt-LT"/>
                    </w:rPr>
                  </w:pPr>
                </w:p>
              </w:tc>
            </w:tr>
            <w:tr w:rsidR="002F20B1">
              <w:tc>
                <w:tcPr>
                  <w:tcW w:w="2319" w:type="dxa"/>
                  <w:tcBorders>
                    <w:top w:val="single" w:sz="4" w:space="0" w:color="auto"/>
                    <w:left w:val="single" w:sz="4" w:space="0" w:color="auto"/>
                    <w:bottom w:val="single" w:sz="4" w:space="0" w:color="auto"/>
                    <w:right w:val="single" w:sz="4" w:space="0" w:color="auto"/>
                  </w:tcBorders>
                  <w:hideMark/>
                </w:tcPr>
                <w:p w:rsidR="002F20B1" w:rsidRDefault="002F20B1" w:rsidP="006F1675">
                  <w:pPr>
                    <w:framePr w:hSpace="180" w:wrap="around" w:vAnchor="text" w:hAnchor="page" w:x="1166" w:y="196"/>
                    <w:rPr>
                      <w:szCs w:val="24"/>
                      <w:lang w:eastAsia="lt-LT"/>
                    </w:rPr>
                  </w:pPr>
                  <w:proofErr w:type="spellStart"/>
                  <w:r>
                    <w:rPr>
                      <w:szCs w:val="24"/>
                      <w:lang w:eastAsia="lt-LT"/>
                    </w:rPr>
                    <w:t>Specialioji</w:t>
                  </w:r>
                  <w:proofErr w:type="spellEnd"/>
                  <w:r>
                    <w:rPr>
                      <w:szCs w:val="24"/>
                      <w:lang w:eastAsia="lt-LT"/>
                    </w:rPr>
                    <w:t xml:space="preserve"> </w:t>
                  </w:r>
                  <w:proofErr w:type="spellStart"/>
                  <w:r>
                    <w:rPr>
                      <w:szCs w:val="24"/>
                      <w:lang w:eastAsia="lt-LT"/>
                    </w:rPr>
                    <w:t>tikslinė</w:t>
                  </w:r>
                  <w:proofErr w:type="spellEnd"/>
                  <w:r>
                    <w:rPr>
                      <w:szCs w:val="24"/>
                      <w:lang w:eastAsia="lt-LT"/>
                    </w:rPr>
                    <w:t xml:space="preserve"> </w:t>
                  </w:r>
                  <w:proofErr w:type="spellStart"/>
                  <w:r>
                    <w:rPr>
                      <w:szCs w:val="24"/>
                      <w:lang w:eastAsia="lt-LT"/>
                    </w:rPr>
                    <w:t>dotacija</w:t>
                  </w:r>
                  <w:proofErr w:type="spellEnd"/>
                  <w:r>
                    <w:rPr>
                      <w:szCs w:val="24"/>
                      <w:lang w:eastAsia="lt-LT"/>
                    </w:rPr>
                    <w:t xml:space="preserve"> (VB)</w:t>
                  </w:r>
                </w:p>
              </w:tc>
              <w:tc>
                <w:tcPr>
                  <w:tcW w:w="1470" w:type="dxa"/>
                  <w:tcBorders>
                    <w:top w:val="single" w:sz="4" w:space="0" w:color="auto"/>
                    <w:left w:val="single" w:sz="4" w:space="0" w:color="auto"/>
                    <w:bottom w:val="single" w:sz="4" w:space="0" w:color="auto"/>
                    <w:right w:val="single" w:sz="4" w:space="0" w:color="auto"/>
                  </w:tcBorders>
                  <w:hideMark/>
                </w:tcPr>
                <w:p w:rsidR="002F20B1" w:rsidRDefault="002F20B1" w:rsidP="006F1675">
                  <w:pPr>
                    <w:framePr w:hSpace="180" w:wrap="around" w:vAnchor="text" w:hAnchor="page" w:x="1166" w:y="196"/>
                    <w:jc w:val="center"/>
                    <w:rPr>
                      <w:szCs w:val="24"/>
                      <w:lang w:eastAsia="lt-LT"/>
                    </w:rPr>
                  </w:pPr>
                  <w:r>
                    <w:rPr>
                      <w:szCs w:val="24"/>
                      <w:lang w:eastAsia="lt-LT"/>
                    </w:rPr>
                    <w:t>1517,700</w:t>
                  </w:r>
                </w:p>
              </w:tc>
              <w:tc>
                <w:tcPr>
                  <w:tcW w:w="1236" w:type="dxa"/>
                  <w:tcBorders>
                    <w:top w:val="single" w:sz="4" w:space="0" w:color="auto"/>
                    <w:left w:val="single" w:sz="4" w:space="0" w:color="auto"/>
                    <w:bottom w:val="single" w:sz="4" w:space="0" w:color="auto"/>
                    <w:right w:val="single" w:sz="4" w:space="0" w:color="auto"/>
                  </w:tcBorders>
                  <w:hideMark/>
                </w:tcPr>
                <w:p w:rsidR="002F20B1" w:rsidRDefault="002F20B1" w:rsidP="006F1675">
                  <w:pPr>
                    <w:framePr w:hSpace="180" w:wrap="around" w:vAnchor="text" w:hAnchor="page" w:x="1166" w:y="196"/>
                    <w:jc w:val="center"/>
                    <w:rPr>
                      <w:szCs w:val="24"/>
                      <w:lang w:eastAsia="lt-LT"/>
                    </w:rPr>
                  </w:pPr>
                  <w:r>
                    <w:rPr>
                      <w:szCs w:val="24"/>
                      <w:lang w:eastAsia="lt-LT"/>
                    </w:rPr>
                    <w:t>1516,767</w:t>
                  </w:r>
                </w:p>
              </w:tc>
              <w:tc>
                <w:tcPr>
                  <w:tcW w:w="1107" w:type="dxa"/>
                  <w:tcBorders>
                    <w:top w:val="single" w:sz="4" w:space="0" w:color="auto"/>
                    <w:left w:val="single" w:sz="4" w:space="0" w:color="auto"/>
                    <w:bottom w:val="single" w:sz="4" w:space="0" w:color="auto"/>
                    <w:right w:val="single" w:sz="4" w:space="0" w:color="auto"/>
                  </w:tcBorders>
                  <w:hideMark/>
                </w:tcPr>
                <w:p w:rsidR="002F20B1" w:rsidRDefault="002F20B1" w:rsidP="006F1675">
                  <w:pPr>
                    <w:framePr w:hSpace="180" w:wrap="around" w:vAnchor="text" w:hAnchor="page" w:x="1166" w:y="196"/>
                    <w:jc w:val="center"/>
                    <w:rPr>
                      <w:szCs w:val="24"/>
                      <w:lang w:eastAsia="lt-LT"/>
                    </w:rPr>
                  </w:pPr>
                  <w:r>
                    <w:rPr>
                      <w:szCs w:val="24"/>
                      <w:lang w:eastAsia="lt-LT"/>
                    </w:rPr>
                    <w:t>99,94</w:t>
                  </w:r>
                </w:p>
              </w:tc>
              <w:tc>
                <w:tcPr>
                  <w:tcW w:w="4384" w:type="dxa"/>
                  <w:tcBorders>
                    <w:top w:val="single" w:sz="4" w:space="0" w:color="auto"/>
                    <w:left w:val="single" w:sz="4" w:space="0" w:color="auto"/>
                    <w:bottom w:val="single" w:sz="4" w:space="0" w:color="auto"/>
                    <w:right w:val="single" w:sz="4" w:space="0" w:color="auto"/>
                  </w:tcBorders>
                </w:tcPr>
                <w:p w:rsidR="002F20B1" w:rsidRDefault="002F20B1" w:rsidP="006F1675">
                  <w:pPr>
                    <w:framePr w:hSpace="180" w:wrap="around" w:vAnchor="text" w:hAnchor="page" w:x="1166" w:y="196"/>
                    <w:jc w:val="both"/>
                    <w:rPr>
                      <w:szCs w:val="24"/>
                      <w:lang w:eastAsia="lt-LT"/>
                    </w:rPr>
                  </w:pPr>
                </w:p>
              </w:tc>
            </w:tr>
            <w:tr w:rsidR="002F20B1">
              <w:tc>
                <w:tcPr>
                  <w:tcW w:w="2319" w:type="dxa"/>
                  <w:tcBorders>
                    <w:top w:val="single" w:sz="4" w:space="0" w:color="auto"/>
                    <w:left w:val="single" w:sz="4" w:space="0" w:color="auto"/>
                    <w:bottom w:val="single" w:sz="4" w:space="0" w:color="auto"/>
                    <w:right w:val="single" w:sz="4" w:space="0" w:color="auto"/>
                  </w:tcBorders>
                  <w:hideMark/>
                </w:tcPr>
                <w:p w:rsidR="002F20B1" w:rsidRPr="002F20B1" w:rsidRDefault="002F20B1" w:rsidP="006F1675">
                  <w:pPr>
                    <w:framePr w:hSpace="180" w:wrap="around" w:vAnchor="text" w:hAnchor="page" w:x="1166" w:y="196"/>
                    <w:rPr>
                      <w:szCs w:val="24"/>
                      <w:lang w:val="lt-LT" w:eastAsia="lt-LT"/>
                    </w:rPr>
                  </w:pPr>
                  <w:r w:rsidRPr="002F20B1">
                    <w:rPr>
                      <w:szCs w:val="24"/>
                      <w:lang w:val="lt-LT" w:eastAsia="lt-LT"/>
                    </w:rPr>
                    <w:t>Įstaigos gautos pajamos (surinkta pajamų SP), iš jų:</w:t>
                  </w:r>
                </w:p>
              </w:tc>
              <w:tc>
                <w:tcPr>
                  <w:tcW w:w="1470" w:type="dxa"/>
                  <w:tcBorders>
                    <w:top w:val="single" w:sz="4" w:space="0" w:color="auto"/>
                    <w:left w:val="single" w:sz="4" w:space="0" w:color="auto"/>
                    <w:bottom w:val="single" w:sz="4" w:space="0" w:color="auto"/>
                    <w:right w:val="single" w:sz="4" w:space="0" w:color="auto"/>
                  </w:tcBorders>
                </w:tcPr>
                <w:p w:rsidR="002F20B1" w:rsidRPr="002F20B1" w:rsidRDefault="002F20B1" w:rsidP="006F1675">
                  <w:pPr>
                    <w:framePr w:hSpace="180" w:wrap="around" w:vAnchor="text" w:hAnchor="page" w:x="1166" w:y="196"/>
                    <w:jc w:val="center"/>
                    <w:rPr>
                      <w:szCs w:val="24"/>
                      <w:lang w:val="lt-LT" w:eastAsia="lt-LT"/>
                    </w:rPr>
                  </w:pPr>
                </w:p>
              </w:tc>
              <w:tc>
                <w:tcPr>
                  <w:tcW w:w="1236" w:type="dxa"/>
                  <w:tcBorders>
                    <w:top w:val="single" w:sz="4" w:space="0" w:color="auto"/>
                    <w:left w:val="single" w:sz="4" w:space="0" w:color="auto"/>
                    <w:bottom w:val="single" w:sz="4" w:space="0" w:color="auto"/>
                    <w:right w:val="single" w:sz="4" w:space="0" w:color="auto"/>
                  </w:tcBorders>
                </w:tcPr>
                <w:p w:rsidR="002F20B1" w:rsidRPr="002F20B1" w:rsidRDefault="002F20B1" w:rsidP="006F1675">
                  <w:pPr>
                    <w:framePr w:hSpace="180" w:wrap="around" w:vAnchor="text" w:hAnchor="page" w:x="1166" w:y="196"/>
                    <w:jc w:val="center"/>
                    <w:rPr>
                      <w:szCs w:val="24"/>
                      <w:lang w:val="lt-LT" w:eastAsia="lt-LT"/>
                    </w:rPr>
                  </w:pPr>
                </w:p>
              </w:tc>
              <w:tc>
                <w:tcPr>
                  <w:tcW w:w="1107" w:type="dxa"/>
                  <w:tcBorders>
                    <w:top w:val="single" w:sz="4" w:space="0" w:color="auto"/>
                    <w:left w:val="single" w:sz="4" w:space="0" w:color="auto"/>
                    <w:bottom w:val="single" w:sz="4" w:space="0" w:color="auto"/>
                    <w:right w:val="single" w:sz="4" w:space="0" w:color="auto"/>
                  </w:tcBorders>
                </w:tcPr>
                <w:p w:rsidR="002F20B1" w:rsidRPr="002F20B1" w:rsidRDefault="002F20B1" w:rsidP="006F1675">
                  <w:pPr>
                    <w:framePr w:hSpace="180" w:wrap="around" w:vAnchor="text" w:hAnchor="page" w:x="1166" w:y="196"/>
                    <w:jc w:val="center"/>
                    <w:rPr>
                      <w:szCs w:val="24"/>
                      <w:lang w:val="lt-LT" w:eastAsia="lt-LT"/>
                    </w:rPr>
                  </w:pPr>
                </w:p>
              </w:tc>
              <w:tc>
                <w:tcPr>
                  <w:tcW w:w="4384" w:type="dxa"/>
                  <w:tcBorders>
                    <w:top w:val="single" w:sz="4" w:space="0" w:color="auto"/>
                    <w:left w:val="single" w:sz="4" w:space="0" w:color="auto"/>
                    <w:bottom w:val="single" w:sz="4" w:space="0" w:color="auto"/>
                    <w:right w:val="single" w:sz="4" w:space="0" w:color="auto"/>
                  </w:tcBorders>
                  <w:hideMark/>
                </w:tcPr>
                <w:p w:rsidR="002F20B1" w:rsidRDefault="002F20B1" w:rsidP="006F1675">
                  <w:pPr>
                    <w:framePr w:hSpace="180" w:wrap="around" w:vAnchor="text" w:hAnchor="page" w:x="1166" w:y="196"/>
                    <w:rPr>
                      <w:szCs w:val="24"/>
                      <w:lang w:eastAsia="lt-LT"/>
                    </w:rPr>
                  </w:pPr>
                  <w:proofErr w:type="spellStart"/>
                  <w:r>
                    <w:rPr>
                      <w:szCs w:val="24"/>
                      <w:lang w:eastAsia="lt-LT"/>
                    </w:rPr>
                    <w:t>Taupėme</w:t>
                  </w:r>
                  <w:proofErr w:type="spellEnd"/>
                  <w:r>
                    <w:rPr>
                      <w:szCs w:val="24"/>
                      <w:lang w:eastAsia="lt-LT"/>
                    </w:rPr>
                    <w:t xml:space="preserve">, </w:t>
                  </w:r>
                  <w:proofErr w:type="spellStart"/>
                  <w:r>
                    <w:rPr>
                      <w:szCs w:val="24"/>
                      <w:lang w:eastAsia="lt-LT"/>
                    </w:rPr>
                    <w:t>naudojome</w:t>
                  </w:r>
                  <w:proofErr w:type="spellEnd"/>
                  <w:r>
                    <w:rPr>
                      <w:szCs w:val="24"/>
                      <w:lang w:eastAsia="lt-LT"/>
                    </w:rPr>
                    <w:t xml:space="preserve"> </w:t>
                  </w:r>
                  <w:proofErr w:type="spellStart"/>
                  <w:r>
                    <w:rPr>
                      <w:szCs w:val="24"/>
                      <w:lang w:eastAsia="lt-LT"/>
                    </w:rPr>
                    <w:t>tik</w:t>
                  </w:r>
                  <w:proofErr w:type="spellEnd"/>
                  <w:r>
                    <w:rPr>
                      <w:szCs w:val="24"/>
                      <w:lang w:eastAsia="lt-LT"/>
                    </w:rPr>
                    <w:t xml:space="preserve"> </w:t>
                  </w:r>
                  <w:proofErr w:type="spellStart"/>
                  <w:r>
                    <w:rPr>
                      <w:szCs w:val="24"/>
                      <w:lang w:eastAsia="lt-LT"/>
                    </w:rPr>
                    <w:t>pagal</w:t>
                  </w:r>
                  <w:proofErr w:type="spellEnd"/>
                  <w:r>
                    <w:rPr>
                      <w:szCs w:val="24"/>
                      <w:lang w:eastAsia="lt-LT"/>
                    </w:rPr>
                    <w:t xml:space="preserve"> </w:t>
                  </w:r>
                  <w:proofErr w:type="spellStart"/>
                  <w:r>
                    <w:rPr>
                      <w:szCs w:val="24"/>
                      <w:lang w:eastAsia="lt-LT"/>
                    </w:rPr>
                    <w:t>poreikį</w:t>
                  </w:r>
                  <w:proofErr w:type="spellEnd"/>
                  <w:r>
                    <w:rPr>
                      <w:szCs w:val="24"/>
                      <w:lang w:eastAsia="lt-LT"/>
                    </w:rPr>
                    <w:t>.</w:t>
                  </w:r>
                </w:p>
              </w:tc>
            </w:tr>
            <w:tr w:rsidR="002F20B1">
              <w:trPr>
                <w:trHeight w:val="738"/>
              </w:trPr>
              <w:tc>
                <w:tcPr>
                  <w:tcW w:w="2319" w:type="dxa"/>
                  <w:tcBorders>
                    <w:top w:val="single" w:sz="4" w:space="0" w:color="auto"/>
                    <w:left w:val="single" w:sz="4" w:space="0" w:color="auto"/>
                    <w:bottom w:val="single" w:sz="4" w:space="0" w:color="auto"/>
                    <w:right w:val="single" w:sz="4" w:space="0" w:color="auto"/>
                  </w:tcBorders>
                  <w:hideMark/>
                </w:tcPr>
                <w:p w:rsidR="002F20B1" w:rsidRDefault="002F20B1" w:rsidP="006F1675">
                  <w:pPr>
                    <w:framePr w:hSpace="180" w:wrap="around" w:vAnchor="text" w:hAnchor="page" w:x="1166" w:y="196"/>
                    <w:rPr>
                      <w:szCs w:val="24"/>
                      <w:lang w:eastAsia="lt-LT"/>
                    </w:rPr>
                  </w:pPr>
                  <w:proofErr w:type="spellStart"/>
                  <w:r>
                    <w:rPr>
                      <w:szCs w:val="24"/>
                      <w:lang w:eastAsia="lt-LT"/>
                    </w:rPr>
                    <w:t>Pajamų</w:t>
                  </w:r>
                  <w:proofErr w:type="spellEnd"/>
                  <w:r>
                    <w:rPr>
                      <w:szCs w:val="24"/>
                      <w:lang w:eastAsia="lt-LT"/>
                    </w:rPr>
                    <w:t xml:space="preserve"> </w:t>
                  </w:r>
                  <w:proofErr w:type="spellStart"/>
                  <w:r>
                    <w:rPr>
                      <w:szCs w:val="24"/>
                      <w:lang w:eastAsia="lt-LT"/>
                    </w:rPr>
                    <w:t>išlaidos</w:t>
                  </w:r>
                  <w:proofErr w:type="spellEnd"/>
                  <w:r>
                    <w:rPr>
                      <w:szCs w:val="24"/>
                      <w:lang w:eastAsia="lt-LT"/>
                    </w:rPr>
                    <w:t xml:space="preserve"> (SP)</w:t>
                  </w:r>
                </w:p>
                <w:p w:rsidR="002F20B1" w:rsidRDefault="002F20B1" w:rsidP="006F1675">
                  <w:pPr>
                    <w:framePr w:hSpace="180" w:wrap="around" w:vAnchor="text" w:hAnchor="page" w:x="1166" w:y="196"/>
                    <w:rPr>
                      <w:szCs w:val="24"/>
                      <w:lang w:eastAsia="lt-LT"/>
                    </w:rPr>
                  </w:pPr>
                  <w:proofErr w:type="spellStart"/>
                  <w:r>
                    <w:rPr>
                      <w:szCs w:val="24"/>
                      <w:lang w:eastAsia="lt-LT"/>
                    </w:rPr>
                    <w:t>Projektų</w:t>
                  </w:r>
                  <w:proofErr w:type="spellEnd"/>
                  <w:r>
                    <w:rPr>
                      <w:szCs w:val="24"/>
                      <w:lang w:eastAsia="lt-LT"/>
                    </w:rPr>
                    <w:t xml:space="preserve"> </w:t>
                  </w:r>
                  <w:proofErr w:type="spellStart"/>
                  <w:r>
                    <w:rPr>
                      <w:szCs w:val="24"/>
                      <w:lang w:eastAsia="lt-LT"/>
                    </w:rPr>
                    <w:t>finansavimas</w:t>
                  </w:r>
                  <w:proofErr w:type="spellEnd"/>
                  <w:r>
                    <w:rPr>
                      <w:szCs w:val="24"/>
                      <w:lang w:eastAsia="lt-LT"/>
                    </w:rPr>
                    <w:t xml:space="preserve"> (ES; VB; SB)</w:t>
                  </w:r>
                </w:p>
              </w:tc>
              <w:tc>
                <w:tcPr>
                  <w:tcW w:w="1470" w:type="dxa"/>
                  <w:tcBorders>
                    <w:top w:val="single" w:sz="4" w:space="0" w:color="auto"/>
                    <w:left w:val="single" w:sz="4" w:space="0" w:color="auto"/>
                    <w:bottom w:val="single" w:sz="4" w:space="0" w:color="auto"/>
                    <w:right w:val="single" w:sz="4" w:space="0" w:color="auto"/>
                  </w:tcBorders>
                  <w:hideMark/>
                </w:tcPr>
                <w:p w:rsidR="002F20B1" w:rsidRDefault="002F20B1" w:rsidP="006F1675">
                  <w:pPr>
                    <w:framePr w:hSpace="180" w:wrap="around" w:vAnchor="text" w:hAnchor="page" w:x="1166" w:y="196"/>
                    <w:jc w:val="center"/>
                    <w:rPr>
                      <w:szCs w:val="24"/>
                      <w:lang w:eastAsia="lt-LT"/>
                    </w:rPr>
                  </w:pPr>
                  <w:r>
                    <w:rPr>
                      <w:szCs w:val="24"/>
                      <w:lang w:eastAsia="lt-LT"/>
                    </w:rPr>
                    <w:t>229,485</w:t>
                  </w:r>
                </w:p>
              </w:tc>
              <w:tc>
                <w:tcPr>
                  <w:tcW w:w="1236" w:type="dxa"/>
                  <w:tcBorders>
                    <w:top w:val="single" w:sz="4" w:space="0" w:color="auto"/>
                    <w:left w:val="single" w:sz="4" w:space="0" w:color="auto"/>
                    <w:bottom w:val="single" w:sz="4" w:space="0" w:color="auto"/>
                    <w:right w:val="single" w:sz="4" w:space="0" w:color="auto"/>
                  </w:tcBorders>
                  <w:hideMark/>
                </w:tcPr>
                <w:p w:rsidR="002F20B1" w:rsidRDefault="002F20B1" w:rsidP="006F1675">
                  <w:pPr>
                    <w:framePr w:hSpace="180" w:wrap="around" w:vAnchor="text" w:hAnchor="page" w:x="1166" w:y="196"/>
                    <w:jc w:val="center"/>
                    <w:rPr>
                      <w:szCs w:val="24"/>
                      <w:lang w:eastAsia="lt-LT"/>
                    </w:rPr>
                  </w:pPr>
                  <w:r>
                    <w:rPr>
                      <w:szCs w:val="24"/>
                      <w:lang w:eastAsia="lt-LT"/>
                    </w:rPr>
                    <w:t>203,224</w:t>
                  </w:r>
                </w:p>
              </w:tc>
              <w:tc>
                <w:tcPr>
                  <w:tcW w:w="1107" w:type="dxa"/>
                  <w:tcBorders>
                    <w:top w:val="single" w:sz="4" w:space="0" w:color="auto"/>
                    <w:left w:val="single" w:sz="4" w:space="0" w:color="auto"/>
                    <w:bottom w:val="single" w:sz="4" w:space="0" w:color="auto"/>
                    <w:right w:val="single" w:sz="4" w:space="0" w:color="auto"/>
                  </w:tcBorders>
                  <w:hideMark/>
                </w:tcPr>
                <w:p w:rsidR="002F20B1" w:rsidRDefault="002F20B1" w:rsidP="006F1675">
                  <w:pPr>
                    <w:framePr w:hSpace="180" w:wrap="around" w:vAnchor="text" w:hAnchor="page" w:x="1166" w:y="196"/>
                    <w:jc w:val="center"/>
                    <w:rPr>
                      <w:szCs w:val="24"/>
                      <w:lang w:eastAsia="lt-LT"/>
                    </w:rPr>
                  </w:pPr>
                  <w:r>
                    <w:rPr>
                      <w:szCs w:val="24"/>
                      <w:lang w:eastAsia="lt-LT"/>
                    </w:rPr>
                    <w:t>88,56</w:t>
                  </w:r>
                </w:p>
              </w:tc>
              <w:tc>
                <w:tcPr>
                  <w:tcW w:w="4384" w:type="dxa"/>
                  <w:tcBorders>
                    <w:top w:val="single" w:sz="4" w:space="0" w:color="auto"/>
                    <w:left w:val="single" w:sz="4" w:space="0" w:color="auto"/>
                    <w:bottom w:val="single" w:sz="4" w:space="0" w:color="auto"/>
                    <w:right w:val="single" w:sz="4" w:space="0" w:color="auto"/>
                  </w:tcBorders>
                </w:tcPr>
                <w:p w:rsidR="002F20B1" w:rsidRDefault="002F20B1" w:rsidP="006F1675">
                  <w:pPr>
                    <w:framePr w:hSpace="180" w:wrap="around" w:vAnchor="text" w:hAnchor="page" w:x="1166" w:y="196"/>
                    <w:rPr>
                      <w:szCs w:val="24"/>
                      <w:lang w:eastAsia="lt-LT"/>
                    </w:rPr>
                  </w:pPr>
                </w:p>
              </w:tc>
            </w:tr>
            <w:tr w:rsidR="002F20B1">
              <w:tc>
                <w:tcPr>
                  <w:tcW w:w="2319" w:type="dxa"/>
                  <w:tcBorders>
                    <w:top w:val="single" w:sz="4" w:space="0" w:color="auto"/>
                    <w:left w:val="single" w:sz="4" w:space="0" w:color="auto"/>
                    <w:bottom w:val="single" w:sz="4" w:space="0" w:color="auto"/>
                    <w:right w:val="single" w:sz="4" w:space="0" w:color="auto"/>
                  </w:tcBorders>
                  <w:hideMark/>
                </w:tcPr>
                <w:p w:rsidR="002F20B1" w:rsidRDefault="002F20B1" w:rsidP="006F1675">
                  <w:pPr>
                    <w:framePr w:hSpace="180" w:wrap="around" w:vAnchor="text" w:hAnchor="page" w:x="1166" w:y="196"/>
                    <w:rPr>
                      <w:szCs w:val="24"/>
                      <w:lang w:eastAsia="lt-LT"/>
                    </w:rPr>
                  </w:pPr>
                  <w:proofErr w:type="spellStart"/>
                  <w:r>
                    <w:rPr>
                      <w:szCs w:val="24"/>
                      <w:lang w:eastAsia="lt-LT"/>
                    </w:rPr>
                    <w:t>Kitos</w:t>
                  </w:r>
                  <w:proofErr w:type="spellEnd"/>
                  <w:r>
                    <w:rPr>
                      <w:szCs w:val="24"/>
                      <w:lang w:eastAsia="lt-LT"/>
                    </w:rPr>
                    <w:t xml:space="preserve"> </w:t>
                  </w:r>
                  <w:proofErr w:type="spellStart"/>
                  <w:r>
                    <w:rPr>
                      <w:szCs w:val="24"/>
                      <w:lang w:eastAsia="lt-LT"/>
                    </w:rPr>
                    <w:t>lėšos</w:t>
                  </w:r>
                  <w:proofErr w:type="spellEnd"/>
                  <w:r>
                    <w:rPr>
                      <w:szCs w:val="24"/>
                      <w:lang w:eastAsia="lt-LT"/>
                    </w:rPr>
                    <w:t xml:space="preserve"> (</w:t>
                  </w:r>
                  <w:proofErr w:type="spellStart"/>
                  <w:r>
                    <w:rPr>
                      <w:szCs w:val="24"/>
                      <w:lang w:eastAsia="lt-LT"/>
                    </w:rPr>
                    <w:t>parama</w:t>
                  </w:r>
                  <w:proofErr w:type="spellEnd"/>
                  <w:r>
                    <w:rPr>
                      <w:szCs w:val="24"/>
                      <w:lang w:eastAsia="lt-LT"/>
                    </w:rPr>
                    <w:t xml:space="preserve"> 1,2 % GM </w:t>
                  </w:r>
                  <w:proofErr w:type="spellStart"/>
                  <w:r>
                    <w:rPr>
                      <w:szCs w:val="24"/>
                      <w:lang w:eastAsia="lt-LT"/>
                    </w:rPr>
                    <w:t>ir</w:t>
                  </w:r>
                  <w:proofErr w:type="spellEnd"/>
                  <w:r>
                    <w:rPr>
                      <w:szCs w:val="24"/>
                      <w:lang w:eastAsia="lt-LT"/>
                    </w:rPr>
                    <w:t xml:space="preserve"> kt.)</w:t>
                  </w:r>
                </w:p>
              </w:tc>
              <w:tc>
                <w:tcPr>
                  <w:tcW w:w="1470" w:type="dxa"/>
                  <w:tcBorders>
                    <w:top w:val="single" w:sz="4" w:space="0" w:color="auto"/>
                    <w:left w:val="single" w:sz="4" w:space="0" w:color="auto"/>
                    <w:bottom w:val="single" w:sz="4" w:space="0" w:color="auto"/>
                    <w:right w:val="single" w:sz="4" w:space="0" w:color="auto"/>
                  </w:tcBorders>
                  <w:hideMark/>
                </w:tcPr>
                <w:p w:rsidR="002F20B1" w:rsidRDefault="002F20B1" w:rsidP="006F1675">
                  <w:pPr>
                    <w:framePr w:hSpace="180" w:wrap="around" w:vAnchor="text" w:hAnchor="page" w:x="1166" w:y="196"/>
                    <w:jc w:val="center"/>
                    <w:rPr>
                      <w:szCs w:val="24"/>
                      <w:lang w:eastAsia="lt-LT"/>
                    </w:rPr>
                  </w:pPr>
                  <w:r>
                    <w:rPr>
                      <w:szCs w:val="24"/>
                      <w:lang w:eastAsia="lt-LT"/>
                    </w:rPr>
                    <w:t>19,205</w:t>
                  </w:r>
                </w:p>
              </w:tc>
              <w:tc>
                <w:tcPr>
                  <w:tcW w:w="1236" w:type="dxa"/>
                  <w:tcBorders>
                    <w:top w:val="single" w:sz="4" w:space="0" w:color="auto"/>
                    <w:left w:val="single" w:sz="4" w:space="0" w:color="auto"/>
                    <w:bottom w:val="single" w:sz="4" w:space="0" w:color="auto"/>
                    <w:right w:val="single" w:sz="4" w:space="0" w:color="auto"/>
                  </w:tcBorders>
                  <w:hideMark/>
                </w:tcPr>
                <w:p w:rsidR="002F20B1" w:rsidRDefault="002F20B1" w:rsidP="006F1675">
                  <w:pPr>
                    <w:framePr w:hSpace="180" w:wrap="around" w:vAnchor="text" w:hAnchor="page" w:x="1166" w:y="196"/>
                    <w:jc w:val="center"/>
                    <w:rPr>
                      <w:szCs w:val="24"/>
                      <w:lang w:eastAsia="lt-LT"/>
                    </w:rPr>
                  </w:pPr>
                  <w:r>
                    <w:rPr>
                      <w:szCs w:val="24"/>
                      <w:lang w:eastAsia="lt-LT"/>
                    </w:rPr>
                    <w:t>11,104</w:t>
                  </w:r>
                </w:p>
              </w:tc>
              <w:tc>
                <w:tcPr>
                  <w:tcW w:w="1107" w:type="dxa"/>
                  <w:tcBorders>
                    <w:top w:val="single" w:sz="4" w:space="0" w:color="auto"/>
                    <w:left w:val="single" w:sz="4" w:space="0" w:color="auto"/>
                    <w:bottom w:val="single" w:sz="4" w:space="0" w:color="auto"/>
                    <w:right w:val="single" w:sz="4" w:space="0" w:color="auto"/>
                  </w:tcBorders>
                  <w:hideMark/>
                </w:tcPr>
                <w:p w:rsidR="002F20B1" w:rsidRDefault="002F20B1" w:rsidP="006F1675">
                  <w:pPr>
                    <w:framePr w:hSpace="180" w:wrap="around" w:vAnchor="text" w:hAnchor="page" w:x="1166" w:y="196"/>
                    <w:jc w:val="center"/>
                    <w:rPr>
                      <w:szCs w:val="24"/>
                      <w:lang w:eastAsia="lt-LT"/>
                    </w:rPr>
                  </w:pPr>
                  <w:r>
                    <w:rPr>
                      <w:szCs w:val="24"/>
                      <w:lang w:eastAsia="lt-LT"/>
                    </w:rPr>
                    <w:t>57,82</w:t>
                  </w:r>
                </w:p>
              </w:tc>
              <w:tc>
                <w:tcPr>
                  <w:tcW w:w="4384" w:type="dxa"/>
                  <w:tcBorders>
                    <w:top w:val="single" w:sz="4" w:space="0" w:color="auto"/>
                    <w:left w:val="single" w:sz="4" w:space="0" w:color="auto"/>
                    <w:bottom w:val="single" w:sz="4" w:space="0" w:color="auto"/>
                    <w:right w:val="single" w:sz="4" w:space="0" w:color="auto"/>
                  </w:tcBorders>
                  <w:hideMark/>
                </w:tcPr>
                <w:p w:rsidR="002F20B1" w:rsidRDefault="002F20B1" w:rsidP="006F1675">
                  <w:pPr>
                    <w:framePr w:hSpace="180" w:wrap="around" w:vAnchor="text" w:hAnchor="page" w:x="1166" w:y="196"/>
                    <w:rPr>
                      <w:szCs w:val="24"/>
                      <w:lang w:eastAsia="lt-LT"/>
                    </w:rPr>
                  </w:pPr>
                  <w:proofErr w:type="spellStart"/>
                  <w:r>
                    <w:rPr>
                      <w:szCs w:val="24"/>
                      <w:lang w:eastAsia="lt-LT"/>
                    </w:rPr>
                    <w:t>Taupėme</w:t>
                  </w:r>
                  <w:proofErr w:type="spellEnd"/>
                  <w:r>
                    <w:rPr>
                      <w:szCs w:val="24"/>
                      <w:lang w:eastAsia="lt-LT"/>
                    </w:rPr>
                    <w:t xml:space="preserve"> </w:t>
                  </w:r>
                  <w:proofErr w:type="spellStart"/>
                  <w:r>
                    <w:rPr>
                      <w:szCs w:val="24"/>
                      <w:lang w:eastAsia="lt-LT"/>
                    </w:rPr>
                    <w:t>lėšas</w:t>
                  </w:r>
                  <w:proofErr w:type="spellEnd"/>
                  <w:r>
                    <w:rPr>
                      <w:szCs w:val="24"/>
                      <w:lang w:eastAsia="lt-LT"/>
                    </w:rPr>
                    <w:t xml:space="preserve">, </w:t>
                  </w:r>
                  <w:proofErr w:type="spellStart"/>
                  <w:r>
                    <w:rPr>
                      <w:szCs w:val="24"/>
                      <w:lang w:eastAsia="lt-LT"/>
                    </w:rPr>
                    <w:t>įsigijome</w:t>
                  </w:r>
                  <w:proofErr w:type="spellEnd"/>
                  <w:r>
                    <w:rPr>
                      <w:szCs w:val="24"/>
                      <w:lang w:eastAsia="lt-LT"/>
                    </w:rPr>
                    <w:t xml:space="preserve"> </w:t>
                  </w:r>
                  <w:proofErr w:type="spellStart"/>
                  <w:r>
                    <w:rPr>
                      <w:szCs w:val="24"/>
                      <w:lang w:eastAsia="lt-LT"/>
                    </w:rPr>
                    <w:t>tik</w:t>
                  </w:r>
                  <w:proofErr w:type="spellEnd"/>
                  <w:r>
                    <w:rPr>
                      <w:szCs w:val="24"/>
                      <w:lang w:eastAsia="lt-LT"/>
                    </w:rPr>
                    <w:t xml:space="preserve"> tai, kas </w:t>
                  </w:r>
                  <w:proofErr w:type="spellStart"/>
                  <w:r>
                    <w:rPr>
                      <w:szCs w:val="24"/>
                      <w:lang w:eastAsia="lt-LT"/>
                    </w:rPr>
                    <w:t>būtina</w:t>
                  </w:r>
                  <w:proofErr w:type="spellEnd"/>
                  <w:r>
                    <w:rPr>
                      <w:szCs w:val="24"/>
                      <w:lang w:eastAsia="lt-LT"/>
                    </w:rPr>
                    <w:t>.</w:t>
                  </w:r>
                </w:p>
              </w:tc>
            </w:tr>
            <w:tr w:rsidR="002F20B1">
              <w:trPr>
                <w:trHeight w:val="152"/>
              </w:trPr>
              <w:tc>
                <w:tcPr>
                  <w:tcW w:w="2319" w:type="dxa"/>
                  <w:tcBorders>
                    <w:top w:val="single" w:sz="4" w:space="0" w:color="auto"/>
                    <w:left w:val="single" w:sz="4" w:space="0" w:color="auto"/>
                    <w:bottom w:val="single" w:sz="4" w:space="0" w:color="auto"/>
                    <w:right w:val="single" w:sz="4" w:space="0" w:color="auto"/>
                  </w:tcBorders>
                  <w:hideMark/>
                </w:tcPr>
                <w:p w:rsidR="002F20B1" w:rsidRDefault="002F20B1" w:rsidP="006F1675">
                  <w:pPr>
                    <w:framePr w:hSpace="180" w:wrap="around" w:vAnchor="text" w:hAnchor="page" w:x="1166" w:y="196"/>
                    <w:jc w:val="both"/>
                    <w:rPr>
                      <w:szCs w:val="24"/>
                      <w:lang w:eastAsia="lt-LT"/>
                    </w:rPr>
                  </w:pPr>
                  <w:proofErr w:type="spellStart"/>
                  <w:r>
                    <w:rPr>
                      <w:szCs w:val="24"/>
                      <w:lang w:eastAsia="lt-LT"/>
                    </w:rPr>
                    <w:t>Iš</w:t>
                  </w:r>
                  <w:proofErr w:type="spellEnd"/>
                  <w:r>
                    <w:rPr>
                      <w:szCs w:val="24"/>
                      <w:lang w:eastAsia="lt-LT"/>
                    </w:rPr>
                    <w:t xml:space="preserve"> </w:t>
                  </w:r>
                  <w:proofErr w:type="spellStart"/>
                  <w:r>
                    <w:rPr>
                      <w:szCs w:val="24"/>
                      <w:lang w:eastAsia="lt-LT"/>
                    </w:rPr>
                    <w:t>viso</w:t>
                  </w:r>
                  <w:proofErr w:type="spellEnd"/>
                </w:p>
              </w:tc>
              <w:tc>
                <w:tcPr>
                  <w:tcW w:w="1470" w:type="dxa"/>
                  <w:tcBorders>
                    <w:top w:val="single" w:sz="4" w:space="0" w:color="auto"/>
                    <w:left w:val="single" w:sz="4" w:space="0" w:color="auto"/>
                    <w:bottom w:val="single" w:sz="4" w:space="0" w:color="auto"/>
                    <w:right w:val="single" w:sz="4" w:space="0" w:color="auto"/>
                  </w:tcBorders>
                </w:tcPr>
                <w:p w:rsidR="002F20B1" w:rsidRDefault="002F20B1" w:rsidP="006F1675">
                  <w:pPr>
                    <w:framePr w:hSpace="180" w:wrap="around" w:vAnchor="text" w:hAnchor="page" w:x="1166" w:y="196"/>
                    <w:jc w:val="center"/>
                    <w:rPr>
                      <w:szCs w:val="24"/>
                      <w:lang w:eastAsia="lt-LT"/>
                    </w:rPr>
                  </w:pPr>
                </w:p>
              </w:tc>
              <w:tc>
                <w:tcPr>
                  <w:tcW w:w="1236" w:type="dxa"/>
                  <w:tcBorders>
                    <w:top w:val="single" w:sz="4" w:space="0" w:color="auto"/>
                    <w:left w:val="single" w:sz="4" w:space="0" w:color="auto"/>
                    <w:bottom w:val="single" w:sz="4" w:space="0" w:color="auto"/>
                    <w:right w:val="single" w:sz="4" w:space="0" w:color="auto"/>
                  </w:tcBorders>
                </w:tcPr>
                <w:p w:rsidR="002F20B1" w:rsidRDefault="002F20B1" w:rsidP="006F1675">
                  <w:pPr>
                    <w:framePr w:hSpace="180" w:wrap="around" w:vAnchor="text" w:hAnchor="page" w:x="1166" w:y="196"/>
                    <w:jc w:val="center"/>
                    <w:rPr>
                      <w:szCs w:val="24"/>
                      <w:lang w:eastAsia="lt-LT"/>
                    </w:rPr>
                  </w:pPr>
                </w:p>
              </w:tc>
              <w:tc>
                <w:tcPr>
                  <w:tcW w:w="1107" w:type="dxa"/>
                  <w:tcBorders>
                    <w:top w:val="single" w:sz="4" w:space="0" w:color="auto"/>
                    <w:left w:val="single" w:sz="4" w:space="0" w:color="auto"/>
                    <w:bottom w:val="single" w:sz="4" w:space="0" w:color="auto"/>
                    <w:right w:val="single" w:sz="4" w:space="0" w:color="auto"/>
                  </w:tcBorders>
                </w:tcPr>
                <w:p w:rsidR="002F20B1" w:rsidRDefault="002F20B1" w:rsidP="006F1675">
                  <w:pPr>
                    <w:framePr w:hSpace="180" w:wrap="around" w:vAnchor="text" w:hAnchor="page" w:x="1166" w:y="196"/>
                    <w:jc w:val="center"/>
                    <w:rPr>
                      <w:szCs w:val="24"/>
                      <w:lang w:eastAsia="lt-LT"/>
                    </w:rPr>
                  </w:pPr>
                </w:p>
              </w:tc>
              <w:tc>
                <w:tcPr>
                  <w:tcW w:w="4384" w:type="dxa"/>
                  <w:tcBorders>
                    <w:top w:val="single" w:sz="4" w:space="0" w:color="auto"/>
                    <w:left w:val="single" w:sz="4" w:space="0" w:color="auto"/>
                    <w:bottom w:val="single" w:sz="4" w:space="0" w:color="auto"/>
                    <w:right w:val="single" w:sz="4" w:space="0" w:color="auto"/>
                  </w:tcBorders>
                  <w:hideMark/>
                </w:tcPr>
                <w:p w:rsidR="002F20B1" w:rsidRDefault="002F20B1" w:rsidP="006F1675">
                  <w:pPr>
                    <w:framePr w:hSpace="180" w:wrap="around" w:vAnchor="text" w:hAnchor="page" w:x="1166" w:y="196"/>
                    <w:jc w:val="both"/>
                    <w:rPr>
                      <w:szCs w:val="24"/>
                      <w:lang w:eastAsia="lt-LT"/>
                    </w:rPr>
                  </w:pPr>
                  <w:r>
                    <w:rPr>
                      <w:szCs w:val="24"/>
                      <w:lang w:eastAsia="lt-LT"/>
                    </w:rPr>
                    <w:t>-</w:t>
                  </w:r>
                </w:p>
              </w:tc>
            </w:tr>
            <w:tr w:rsidR="002F20B1">
              <w:tc>
                <w:tcPr>
                  <w:tcW w:w="5025" w:type="dxa"/>
                  <w:gridSpan w:val="3"/>
                  <w:tcBorders>
                    <w:top w:val="single" w:sz="4" w:space="0" w:color="auto"/>
                    <w:left w:val="single" w:sz="4" w:space="0" w:color="auto"/>
                    <w:bottom w:val="single" w:sz="4" w:space="0" w:color="auto"/>
                    <w:right w:val="single" w:sz="4" w:space="0" w:color="auto"/>
                  </w:tcBorders>
                  <w:hideMark/>
                </w:tcPr>
                <w:p w:rsidR="002F20B1" w:rsidRDefault="002F20B1" w:rsidP="006F1675">
                  <w:pPr>
                    <w:framePr w:hSpace="180" w:wrap="around" w:vAnchor="text" w:hAnchor="page" w:x="1166" w:y="196"/>
                    <w:jc w:val="both"/>
                    <w:rPr>
                      <w:lang w:eastAsia="lt-LT"/>
                    </w:rPr>
                  </w:pPr>
                  <w:proofErr w:type="spellStart"/>
                  <w:r>
                    <w:rPr>
                      <w:lang w:eastAsia="lt-LT"/>
                    </w:rPr>
                    <w:t>Kreditinis</w:t>
                  </w:r>
                  <w:proofErr w:type="spellEnd"/>
                  <w:r>
                    <w:rPr>
                      <w:lang w:eastAsia="lt-LT"/>
                    </w:rPr>
                    <w:t xml:space="preserve"> </w:t>
                  </w:r>
                  <w:proofErr w:type="spellStart"/>
                  <w:r>
                    <w:rPr>
                      <w:lang w:eastAsia="lt-LT"/>
                    </w:rPr>
                    <w:t>įsiskolinimas</w:t>
                  </w:r>
                  <w:proofErr w:type="spellEnd"/>
                  <w:r>
                    <w:rPr>
                      <w:lang w:eastAsia="lt-LT"/>
                    </w:rPr>
                    <w:t xml:space="preserve"> (</w:t>
                  </w:r>
                  <w:proofErr w:type="spellStart"/>
                  <w:r>
                    <w:rPr>
                      <w:lang w:eastAsia="lt-LT"/>
                    </w:rPr>
                    <w:t>pagal</w:t>
                  </w:r>
                  <w:proofErr w:type="spellEnd"/>
                  <w:r>
                    <w:rPr>
                      <w:lang w:eastAsia="lt-LT"/>
                    </w:rPr>
                    <w:t xml:space="preserve"> </w:t>
                  </w:r>
                  <w:proofErr w:type="spellStart"/>
                  <w:r>
                    <w:rPr>
                      <w:lang w:eastAsia="lt-LT"/>
                    </w:rPr>
                    <w:t>visus</w:t>
                  </w:r>
                  <w:proofErr w:type="spellEnd"/>
                  <w:r>
                    <w:rPr>
                      <w:lang w:eastAsia="lt-LT"/>
                    </w:rPr>
                    <w:t xml:space="preserve"> </w:t>
                  </w:r>
                  <w:proofErr w:type="spellStart"/>
                  <w:r>
                    <w:rPr>
                      <w:lang w:eastAsia="lt-LT"/>
                    </w:rPr>
                    <w:t>finansavimo</w:t>
                  </w:r>
                  <w:proofErr w:type="spellEnd"/>
                  <w:r>
                    <w:rPr>
                      <w:lang w:eastAsia="lt-LT"/>
                    </w:rPr>
                    <w:t xml:space="preserve"> </w:t>
                  </w:r>
                  <w:proofErr w:type="spellStart"/>
                  <w:r>
                    <w:rPr>
                      <w:lang w:eastAsia="lt-LT"/>
                    </w:rPr>
                    <w:t>šaltinius</w:t>
                  </w:r>
                  <w:proofErr w:type="spellEnd"/>
                  <w:r>
                    <w:rPr>
                      <w:lang w:eastAsia="lt-LT"/>
                    </w:rPr>
                    <w:t xml:space="preserve">) 2025 m. </w:t>
                  </w:r>
                  <w:proofErr w:type="spellStart"/>
                  <w:r>
                    <w:rPr>
                      <w:lang w:eastAsia="lt-LT"/>
                    </w:rPr>
                    <w:t>sausio</w:t>
                  </w:r>
                  <w:proofErr w:type="spellEnd"/>
                  <w:r>
                    <w:rPr>
                      <w:lang w:eastAsia="lt-LT"/>
                    </w:rPr>
                    <w:t xml:space="preserve"> 1 d. – </w:t>
                  </w:r>
                  <w:proofErr w:type="spellStart"/>
                  <w:r>
                    <w:rPr>
                      <w:lang w:eastAsia="lt-LT"/>
                    </w:rPr>
                    <w:t>Įmokos</w:t>
                  </w:r>
                  <w:proofErr w:type="spellEnd"/>
                  <w:r>
                    <w:rPr>
                      <w:lang w:eastAsia="lt-LT"/>
                    </w:rPr>
                    <w:t xml:space="preserve"> </w:t>
                  </w:r>
                  <w:proofErr w:type="spellStart"/>
                  <w:r>
                    <w:rPr>
                      <w:lang w:eastAsia="lt-LT"/>
                    </w:rPr>
                    <w:t>už</w:t>
                  </w:r>
                  <w:proofErr w:type="spellEnd"/>
                  <w:r>
                    <w:rPr>
                      <w:lang w:eastAsia="lt-LT"/>
                    </w:rPr>
                    <w:t xml:space="preserve"> pajamas (SP) 3183,57 Eur. </w:t>
                  </w:r>
                  <w:proofErr w:type="spellStart"/>
                  <w:r>
                    <w:rPr>
                      <w:lang w:eastAsia="lt-LT"/>
                    </w:rPr>
                    <w:t>už</w:t>
                  </w:r>
                  <w:proofErr w:type="spellEnd"/>
                  <w:r>
                    <w:rPr>
                      <w:lang w:eastAsia="lt-LT"/>
                    </w:rPr>
                    <w:t xml:space="preserve"> </w:t>
                  </w:r>
                  <w:proofErr w:type="spellStart"/>
                  <w:r>
                    <w:rPr>
                      <w:lang w:eastAsia="lt-LT"/>
                    </w:rPr>
                    <w:t>mitybą</w:t>
                  </w:r>
                  <w:proofErr w:type="spellEnd"/>
                  <w:r>
                    <w:rPr>
                      <w:lang w:eastAsia="lt-LT"/>
                    </w:rPr>
                    <w:t>.(L./d. „</w:t>
                  </w:r>
                  <w:proofErr w:type="spellStart"/>
                  <w:r>
                    <w:rPr>
                      <w:lang w:eastAsia="lt-LT"/>
                    </w:rPr>
                    <w:t>Obelėlė</w:t>
                  </w:r>
                  <w:proofErr w:type="spellEnd"/>
                  <w:r>
                    <w:rPr>
                      <w:lang w:eastAsia="lt-LT"/>
                    </w:rPr>
                    <w:t xml:space="preserve">“ </w:t>
                  </w:r>
                  <w:proofErr w:type="spellStart"/>
                  <w:r>
                    <w:rPr>
                      <w:lang w:eastAsia="lt-LT"/>
                    </w:rPr>
                    <w:t>nebuvo</w:t>
                  </w:r>
                  <w:proofErr w:type="spellEnd"/>
                  <w:r>
                    <w:rPr>
                      <w:lang w:eastAsia="lt-LT"/>
                    </w:rPr>
                    <w:t xml:space="preserve"> </w:t>
                  </w:r>
                  <w:proofErr w:type="spellStart"/>
                  <w:r>
                    <w:rPr>
                      <w:lang w:eastAsia="lt-LT"/>
                    </w:rPr>
                    <w:t>išrašiusi</w:t>
                  </w:r>
                  <w:proofErr w:type="spellEnd"/>
                  <w:r>
                    <w:rPr>
                      <w:lang w:eastAsia="lt-LT"/>
                    </w:rPr>
                    <w:t xml:space="preserve"> </w:t>
                  </w:r>
                  <w:proofErr w:type="spellStart"/>
                  <w:r>
                    <w:rPr>
                      <w:lang w:eastAsia="lt-LT"/>
                    </w:rPr>
                    <w:t>sąskaitos</w:t>
                  </w:r>
                  <w:proofErr w:type="spellEnd"/>
                  <w:r>
                    <w:rPr>
                      <w:lang w:eastAsia="lt-LT"/>
                    </w:rPr>
                    <w:t xml:space="preserve"> </w:t>
                  </w:r>
                  <w:proofErr w:type="spellStart"/>
                  <w:r>
                    <w:rPr>
                      <w:lang w:eastAsia="lt-LT"/>
                    </w:rPr>
                    <w:t>už</w:t>
                  </w:r>
                  <w:proofErr w:type="spellEnd"/>
                  <w:r>
                    <w:rPr>
                      <w:lang w:eastAsia="lt-LT"/>
                    </w:rPr>
                    <w:t xml:space="preserve"> </w:t>
                  </w:r>
                  <w:proofErr w:type="spellStart"/>
                  <w:r>
                    <w:rPr>
                      <w:lang w:eastAsia="lt-LT"/>
                    </w:rPr>
                    <w:t>darželio</w:t>
                  </w:r>
                  <w:proofErr w:type="spellEnd"/>
                  <w:r>
                    <w:rPr>
                      <w:lang w:eastAsia="lt-LT"/>
                    </w:rPr>
                    <w:t xml:space="preserve"> </w:t>
                  </w:r>
                  <w:proofErr w:type="spellStart"/>
                  <w:r>
                    <w:rPr>
                      <w:lang w:eastAsia="lt-LT"/>
                    </w:rPr>
                    <w:t>vaikų</w:t>
                  </w:r>
                  <w:proofErr w:type="spellEnd"/>
                  <w:r>
                    <w:rPr>
                      <w:lang w:eastAsia="lt-LT"/>
                    </w:rPr>
                    <w:t xml:space="preserve"> </w:t>
                  </w:r>
                  <w:proofErr w:type="spellStart"/>
                  <w:r>
                    <w:rPr>
                      <w:lang w:eastAsia="lt-LT"/>
                    </w:rPr>
                    <w:t>maitinimą</w:t>
                  </w:r>
                  <w:proofErr w:type="spellEnd"/>
                  <w:r>
                    <w:rPr>
                      <w:lang w:eastAsia="lt-LT"/>
                    </w:rPr>
                    <w:t>)</w:t>
                  </w:r>
                </w:p>
              </w:tc>
              <w:tc>
                <w:tcPr>
                  <w:tcW w:w="1107" w:type="dxa"/>
                  <w:tcBorders>
                    <w:top w:val="single" w:sz="4" w:space="0" w:color="auto"/>
                    <w:left w:val="single" w:sz="4" w:space="0" w:color="auto"/>
                    <w:bottom w:val="single" w:sz="4" w:space="0" w:color="auto"/>
                    <w:right w:val="single" w:sz="4" w:space="0" w:color="auto"/>
                  </w:tcBorders>
                </w:tcPr>
                <w:p w:rsidR="002F20B1" w:rsidRDefault="002F20B1" w:rsidP="006F1675">
                  <w:pPr>
                    <w:framePr w:hSpace="180" w:wrap="around" w:vAnchor="text" w:hAnchor="page" w:x="1166" w:y="196"/>
                    <w:jc w:val="both"/>
                    <w:rPr>
                      <w:szCs w:val="24"/>
                      <w:lang w:eastAsia="lt-LT"/>
                    </w:rPr>
                  </w:pPr>
                </w:p>
              </w:tc>
              <w:tc>
                <w:tcPr>
                  <w:tcW w:w="4384" w:type="dxa"/>
                  <w:tcBorders>
                    <w:top w:val="single" w:sz="4" w:space="0" w:color="auto"/>
                    <w:left w:val="single" w:sz="4" w:space="0" w:color="auto"/>
                    <w:bottom w:val="single" w:sz="4" w:space="0" w:color="auto"/>
                    <w:right w:val="single" w:sz="4" w:space="0" w:color="auto"/>
                  </w:tcBorders>
                </w:tcPr>
                <w:p w:rsidR="002F20B1" w:rsidRDefault="002F20B1" w:rsidP="006F1675">
                  <w:pPr>
                    <w:framePr w:hSpace="180" w:wrap="around" w:vAnchor="text" w:hAnchor="page" w:x="1166" w:y="196"/>
                    <w:jc w:val="both"/>
                    <w:rPr>
                      <w:szCs w:val="24"/>
                      <w:lang w:eastAsia="lt-LT"/>
                    </w:rPr>
                  </w:pPr>
                </w:p>
              </w:tc>
            </w:tr>
          </w:tbl>
          <w:p w:rsidR="002F20B1" w:rsidRDefault="002F20B1">
            <w:pPr>
              <w:spacing w:line="252" w:lineRule="auto"/>
              <w:ind w:right="-22"/>
              <w:jc w:val="both"/>
            </w:pPr>
            <w:r>
              <w:t xml:space="preserve">         Nacionalinė švietimo agentūra (toliau - NŠA) tikrino „Mokytojų darbo apmokėjimo atitiktį teisės aktų nuostatoms“. 2024-03-21 pažyma „Dėl Klaipėdos Tauralaukio progimnazijos bendrojo ugdymo mokytojų darbo apmokėjimo atitikties teisės aktų nuostatoms“ Nr.ŠTP-33. NŠA išvadose buvo pažymėta, kad Mokyklos darbo apmokėjimo sistema pakankamai detalizuota pagal tikrinimo laikotarpiu galiojančias Lietuvos Respublikos teisės aktų nuostatas. Mokytojų darbo krūvio sandara ir darbo apmokėjimas atitinka teisės aktų ir mokyklos darbo apmokėjimo sistemos nuostatas.</w:t>
            </w:r>
          </w:p>
          <w:p w:rsidR="002F20B1" w:rsidRDefault="002F20B1">
            <w:pPr>
              <w:spacing w:line="252" w:lineRule="auto"/>
              <w:ind w:right="-22"/>
              <w:jc w:val="both"/>
              <w:rPr>
                <w:lang w:eastAsia="lt-LT"/>
              </w:rPr>
            </w:pPr>
            <w:r>
              <w:t xml:space="preserve">         2024-2025 mokslo metus Tauralaukio progimnazija pradėjo naujoje mokykloje su ženkliai didesniu mokinių ir darbuotojų skaičiumi. Laukė dideli iššūkiai prisijaukinant naujas mokyklos edukacines erdves,  formuojant sąmoningą mokinių drausmę,</w:t>
            </w:r>
            <w:r>
              <w:rPr>
                <w:lang w:eastAsia="lt-LT"/>
              </w:rPr>
              <w:t xml:space="preserve"> </w:t>
            </w:r>
            <w:r>
              <w:t>buriant progimnazijos bendruomenę ir į ją saugiai integruojant naujus narius: tiek mokinius, tiek mokytojus, tiek darbuotojus.</w:t>
            </w:r>
          </w:p>
          <w:p w:rsidR="002F20B1" w:rsidRDefault="002F20B1">
            <w:pPr>
              <w:widowControl w:val="0"/>
              <w:tabs>
                <w:tab w:val="left" w:pos="0"/>
                <w:tab w:val="left" w:pos="851"/>
              </w:tabs>
              <w:autoSpaceDE w:val="0"/>
              <w:autoSpaceDN w:val="0"/>
              <w:adjustRightInd w:val="0"/>
              <w:spacing w:line="256" w:lineRule="auto"/>
              <w:jc w:val="both"/>
              <w:rPr>
                <w:szCs w:val="24"/>
              </w:rPr>
            </w:pPr>
            <w:r>
              <w:rPr>
                <w:szCs w:val="24"/>
              </w:rPr>
              <w:t xml:space="preserve">       Planuodama 2025 m. veiklą, Progimnazijos bendruomenė susitarė dėl šio veiklos prioriteto: mokinių mokymosi pasiekimų gerinimo, taikant mokinio (vaiko) pažangos matavimo sistemą</w:t>
            </w:r>
            <w:r>
              <w:rPr>
                <w:color w:val="FF0000"/>
                <w:szCs w:val="24"/>
              </w:rPr>
              <w:t xml:space="preserve"> </w:t>
            </w:r>
            <w:r>
              <w:rPr>
                <w:szCs w:val="24"/>
              </w:rPr>
              <w:t xml:space="preserve">sudarant galimybę </w:t>
            </w:r>
            <w:r>
              <w:rPr>
                <w:szCs w:val="24"/>
              </w:rPr>
              <w:lastRenderedPageBreak/>
              <w:t>kiekvienam mokiniui patirti mokymosi sėkmę, užtikrinant ugdymo nuoseklumą ir tęstinumą, remtis mokinio individualia pažanga, orientuotis į jo gabumus ir stiprybes.</w:t>
            </w:r>
          </w:p>
          <w:p w:rsidR="002F20B1" w:rsidRDefault="002F20B1">
            <w:pPr>
              <w:widowControl w:val="0"/>
              <w:tabs>
                <w:tab w:val="left" w:pos="0"/>
                <w:tab w:val="left" w:pos="851"/>
              </w:tabs>
              <w:autoSpaceDE w:val="0"/>
              <w:autoSpaceDN w:val="0"/>
              <w:adjustRightInd w:val="0"/>
              <w:spacing w:line="256" w:lineRule="auto"/>
              <w:jc w:val="both"/>
              <w:rPr>
                <w:szCs w:val="24"/>
              </w:rPr>
            </w:pPr>
          </w:p>
          <w:p w:rsidR="002F20B1" w:rsidRDefault="002F20B1">
            <w:pPr>
              <w:widowControl w:val="0"/>
              <w:tabs>
                <w:tab w:val="left" w:pos="0"/>
                <w:tab w:val="left" w:pos="851"/>
              </w:tabs>
              <w:autoSpaceDE w:val="0"/>
              <w:autoSpaceDN w:val="0"/>
              <w:adjustRightInd w:val="0"/>
              <w:spacing w:line="256" w:lineRule="auto"/>
              <w:jc w:val="both"/>
            </w:pPr>
            <w:r>
              <w:rPr>
                <w:szCs w:val="24"/>
              </w:rPr>
              <w:t xml:space="preserve">Direktorė                                                                                                           Rima </w:t>
            </w:r>
            <w:proofErr w:type="spellStart"/>
            <w:r>
              <w:rPr>
                <w:szCs w:val="24"/>
              </w:rPr>
              <w:t>Narkienė</w:t>
            </w:r>
            <w:proofErr w:type="spellEnd"/>
          </w:p>
          <w:p w:rsidR="002F20B1" w:rsidRDefault="002F20B1">
            <w:pPr>
              <w:spacing w:line="252" w:lineRule="auto"/>
              <w:jc w:val="both"/>
            </w:pPr>
          </w:p>
        </w:tc>
      </w:tr>
    </w:tbl>
    <w:p w:rsidR="00805BBA" w:rsidRDefault="00805BBA"/>
    <w:sectPr w:rsidR="00805BBA" w:rsidSect="002F20B1">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B5116"/>
    <w:multiLevelType w:val="hybridMultilevel"/>
    <w:tmpl w:val="EE7E000C"/>
    <w:lvl w:ilvl="0" w:tplc="45900456">
      <w:start w:val="1"/>
      <w:numFmt w:val="bullet"/>
      <w:lvlText w:val="•"/>
      <w:lvlJc w:val="left"/>
      <w:pPr>
        <w:tabs>
          <w:tab w:val="num" w:pos="720"/>
        </w:tabs>
        <w:ind w:left="720" w:hanging="360"/>
      </w:pPr>
      <w:rPr>
        <w:rFonts w:ascii="Arial" w:hAnsi="Arial" w:cs="Times New Roman" w:hint="default"/>
      </w:rPr>
    </w:lvl>
    <w:lvl w:ilvl="1" w:tplc="966E9592">
      <w:start w:val="1"/>
      <w:numFmt w:val="bullet"/>
      <w:lvlText w:val="•"/>
      <w:lvlJc w:val="left"/>
      <w:pPr>
        <w:tabs>
          <w:tab w:val="num" w:pos="1440"/>
        </w:tabs>
        <w:ind w:left="1440" w:hanging="360"/>
      </w:pPr>
      <w:rPr>
        <w:rFonts w:ascii="Arial" w:hAnsi="Arial" w:cs="Times New Roman" w:hint="default"/>
      </w:rPr>
    </w:lvl>
    <w:lvl w:ilvl="2" w:tplc="849CC454">
      <w:start w:val="1"/>
      <w:numFmt w:val="bullet"/>
      <w:lvlText w:val="•"/>
      <w:lvlJc w:val="left"/>
      <w:pPr>
        <w:tabs>
          <w:tab w:val="num" w:pos="2160"/>
        </w:tabs>
        <w:ind w:left="2160" w:hanging="360"/>
      </w:pPr>
      <w:rPr>
        <w:rFonts w:ascii="Arial" w:hAnsi="Arial" w:cs="Times New Roman" w:hint="default"/>
      </w:rPr>
    </w:lvl>
    <w:lvl w:ilvl="3" w:tplc="7F44CB7E">
      <w:start w:val="1"/>
      <w:numFmt w:val="bullet"/>
      <w:lvlText w:val="•"/>
      <w:lvlJc w:val="left"/>
      <w:pPr>
        <w:tabs>
          <w:tab w:val="num" w:pos="2880"/>
        </w:tabs>
        <w:ind w:left="2880" w:hanging="360"/>
      </w:pPr>
      <w:rPr>
        <w:rFonts w:ascii="Arial" w:hAnsi="Arial" w:cs="Times New Roman" w:hint="default"/>
      </w:rPr>
    </w:lvl>
    <w:lvl w:ilvl="4" w:tplc="2F1A64FA">
      <w:start w:val="1"/>
      <w:numFmt w:val="bullet"/>
      <w:lvlText w:val="•"/>
      <w:lvlJc w:val="left"/>
      <w:pPr>
        <w:tabs>
          <w:tab w:val="num" w:pos="3600"/>
        </w:tabs>
        <w:ind w:left="3600" w:hanging="360"/>
      </w:pPr>
      <w:rPr>
        <w:rFonts w:ascii="Arial" w:hAnsi="Arial" w:cs="Times New Roman" w:hint="default"/>
      </w:rPr>
    </w:lvl>
    <w:lvl w:ilvl="5" w:tplc="2ED29030">
      <w:start w:val="1"/>
      <w:numFmt w:val="bullet"/>
      <w:lvlText w:val="•"/>
      <w:lvlJc w:val="left"/>
      <w:pPr>
        <w:tabs>
          <w:tab w:val="num" w:pos="4320"/>
        </w:tabs>
        <w:ind w:left="4320" w:hanging="360"/>
      </w:pPr>
      <w:rPr>
        <w:rFonts w:ascii="Arial" w:hAnsi="Arial" w:cs="Times New Roman" w:hint="default"/>
      </w:rPr>
    </w:lvl>
    <w:lvl w:ilvl="6" w:tplc="06902AB2">
      <w:start w:val="1"/>
      <w:numFmt w:val="bullet"/>
      <w:lvlText w:val="•"/>
      <w:lvlJc w:val="left"/>
      <w:pPr>
        <w:tabs>
          <w:tab w:val="num" w:pos="5040"/>
        </w:tabs>
        <w:ind w:left="5040" w:hanging="360"/>
      </w:pPr>
      <w:rPr>
        <w:rFonts w:ascii="Arial" w:hAnsi="Arial" w:cs="Times New Roman" w:hint="default"/>
      </w:rPr>
    </w:lvl>
    <w:lvl w:ilvl="7" w:tplc="44888FF6">
      <w:start w:val="1"/>
      <w:numFmt w:val="bullet"/>
      <w:lvlText w:val="•"/>
      <w:lvlJc w:val="left"/>
      <w:pPr>
        <w:tabs>
          <w:tab w:val="num" w:pos="5760"/>
        </w:tabs>
        <w:ind w:left="5760" w:hanging="360"/>
      </w:pPr>
      <w:rPr>
        <w:rFonts w:ascii="Arial" w:hAnsi="Arial" w:cs="Times New Roman" w:hint="default"/>
      </w:rPr>
    </w:lvl>
    <w:lvl w:ilvl="8" w:tplc="712AD4AE">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113C6C7F"/>
    <w:multiLevelType w:val="hybridMultilevel"/>
    <w:tmpl w:val="7444E9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863062A"/>
    <w:multiLevelType w:val="hybridMultilevel"/>
    <w:tmpl w:val="6902E700"/>
    <w:lvl w:ilvl="0" w:tplc="8CC854D2">
      <w:start w:val="2024"/>
      <w:numFmt w:val="bullet"/>
      <w:lvlText w:val="-"/>
      <w:lvlJc w:val="left"/>
      <w:pPr>
        <w:ind w:left="1003" w:hanging="360"/>
      </w:pPr>
      <w:rPr>
        <w:rFonts w:ascii="Times New Roman" w:eastAsia="Times New Roman" w:hAnsi="Times New Roman" w:cs="Times New Roman" w:hint="default"/>
      </w:rPr>
    </w:lvl>
    <w:lvl w:ilvl="1" w:tplc="04270003">
      <w:start w:val="1"/>
      <w:numFmt w:val="bullet"/>
      <w:lvlText w:val="o"/>
      <w:lvlJc w:val="left"/>
      <w:pPr>
        <w:ind w:left="1723" w:hanging="360"/>
      </w:pPr>
      <w:rPr>
        <w:rFonts w:ascii="Courier New" w:hAnsi="Courier New" w:cs="Courier New" w:hint="default"/>
      </w:rPr>
    </w:lvl>
    <w:lvl w:ilvl="2" w:tplc="04270005">
      <w:start w:val="1"/>
      <w:numFmt w:val="bullet"/>
      <w:lvlText w:val=""/>
      <w:lvlJc w:val="left"/>
      <w:pPr>
        <w:ind w:left="2443" w:hanging="360"/>
      </w:pPr>
      <w:rPr>
        <w:rFonts w:ascii="Wingdings" w:hAnsi="Wingdings" w:hint="default"/>
      </w:rPr>
    </w:lvl>
    <w:lvl w:ilvl="3" w:tplc="04270001">
      <w:start w:val="1"/>
      <w:numFmt w:val="bullet"/>
      <w:lvlText w:val=""/>
      <w:lvlJc w:val="left"/>
      <w:pPr>
        <w:ind w:left="3163" w:hanging="360"/>
      </w:pPr>
      <w:rPr>
        <w:rFonts w:ascii="Symbol" w:hAnsi="Symbol" w:hint="default"/>
      </w:rPr>
    </w:lvl>
    <w:lvl w:ilvl="4" w:tplc="04270003">
      <w:start w:val="1"/>
      <w:numFmt w:val="bullet"/>
      <w:lvlText w:val="o"/>
      <w:lvlJc w:val="left"/>
      <w:pPr>
        <w:ind w:left="3883" w:hanging="360"/>
      </w:pPr>
      <w:rPr>
        <w:rFonts w:ascii="Courier New" w:hAnsi="Courier New" w:cs="Courier New" w:hint="default"/>
      </w:rPr>
    </w:lvl>
    <w:lvl w:ilvl="5" w:tplc="04270005">
      <w:start w:val="1"/>
      <w:numFmt w:val="bullet"/>
      <w:lvlText w:val=""/>
      <w:lvlJc w:val="left"/>
      <w:pPr>
        <w:ind w:left="4603" w:hanging="360"/>
      </w:pPr>
      <w:rPr>
        <w:rFonts w:ascii="Wingdings" w:hAnsi="Wingdings" w:hint="default"/>
      </w:rPr>
    </w:lvl>
    <w:lvl w:ilvl="6" w:tplc="04270001">
      <w:start w:val="1"/>
      <w:numFmt w:val="bullet"/>
      <w:lvlText w:val=""/>
      <w:lvlJc w:val="left"/>
      <w:pPr>
        <w:ind w:left="5323" w:hanging="360"/>
      </w:pPr>
      <w:rPr>
        <w:rFonts w:ascii="Symbol" w:hAnsi="Symbol" w:hint="default"/>
      </w:rPr>
    </w:lvl>
    <w:lvl w:ilvl="7" w:tplc="04270003">
      <w:start w:val="1"/>
      <w:numFmt w:val="bullet"/>
      <w:lvlText w:val="o"/>
      <w:lvlJc w:val="left"/>
      <w:pPr>
        <w:ind w:left="6043" w:hanging="360"/>
      </w:pPr>
      <w:rPr>
        <w:rFonts w:ascii="Courier New" w:hAnsi="Courier New" w:cs="Courier New" w:hint="default"/>
      </w:rPr>
    </w:lvl>
    <w:lvl w:ilvl="8" w:tplc="04270005">
      <w:start w:val="1"/>
      <w:numFmt w:val="bullet"/>
      <w:lvlText w:val=""/>
      <w:lvlJc w:val="left"/>
      <w:pPr>
        <w:ind w:left="6763"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0B1"/>
    <w:rsid w:val="002F20B1"/>
    <w:rsid w:val="006F1675"/>
    <w:rsid w:val="00805B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D1323-9DCD-495B-BEEC-DDD908BEE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F20B1"/>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0B1"/>
    <w:pPr>
      <w:ind w:left="720"/>
      <w:contextualSpacing/>
    </w:pPr>
  </w:style>
  <w:style w:type="table" w:customStyle="1" w:styleId="Lentelstinklelis1">
    <w:name w:val="Lentelės tinklelis1"/>
    <w:basedOn w:val="prastojilentel"/>
    <w:uiPriority w:val="39"/>
    <w:rsid w:val="002F20B1"/>
    <w:pPr>
      <w:spacing w:after="0" w:line="240" w:lineRule="auto"/>
    </w:pPr>
    <w:rPr>
      <w:rFonts w:eastAsia="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2F20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46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winning.lt/sveikiname-etwinning-mokyklos-zenklelio-2024-2025-laimetoj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3444</Words>
  <Characters>19633</Characters>
  <Application>Microsoft Office Word</Application>
  <DocSecurity>0</DocSecurity>
  <Lines>163</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 vieta Nr. 4</dc:creator>
  <cp:keywords/>
  <dc:description/>
  <cp:lastModifiedBy>Ingrida Lekstutienė</cp:lastModifiedBy>
  <cp:revision>2</cp:revision>
  <dcterms:created xsi:type="dcterms:W3CDTF">2025-04-10T12:30:00Z</dcterms:created>
  <dcterms:modified xsi:type="dcterms:W3CDTF">2025-04-10T12:30:00Z</dcterms:modified>
</cp:coreProperties>
</file>